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危险化学品重大危险源监督管理暂行规定</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（2011年8月5日国家安全生产监督管理总局令第40号公布，自2011年12月1日起施行；根据2015年5月27日国家安全生产监督管理总局令第79号修正）</w:t>
      </w:r>
    </w:p>
    <w:p>
      <w:pPr>
        <w:ind w:firstLine="720" w:firstLineChars="200"/>
        <w:rPr>
          <w:rFonts w:ascii="宋体" w:hAnsi="宋体" w:eastAsia="宋体" w:cs="宋体"/>
          <w:color w:val="333333"/>
          <w:sz w:val="36"/>
          <w:szCs w:val="36"/>
          <w:shd w:val="clear" w:color="auto" w:fill="FFFFFF"/>
        </w:rPr>
      </w:pP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为了加强危险化学品重大危险源的安全监督管理，防止和减少危险化学品事故的发生，保障人民群众生命财产安全，根据《中华人民共和国安全生产法》和《危险化学品安全管理条例》等有关法律、行政法规，制定本规定。</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从事危险化学品生产、储存、使用和经营的单位（以下统称危险化学品单位）的危险化学品重大危险源的辨识、评估、登记建档、备案、核销及其监督管理，适用本规定。</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城镇燃气、用于国防科研生产的危险化学品重大危险源以及港区内危险化学品重大危险源的安全监督管理，不适用本规定。</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本规定所称危险化学品重大危险源（以下简称重大危险源），是指按照《危险化学品重大危险源辨识》（GB18218）标准辨识确定，生产、储存、使用或者搬运危险化学品的数量等于或者超过临界量的单元（包括场所和设施）。</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危险化学品单位是本单位重大危险源安全管理的责任主体，其主要负责人对本单位的重大危险源安全管理工作负责，并保证重大危险源安全生产所必需的安全投入。</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重大危险源的安全监督管理实行属地监管与分级管理相结合的原则。</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县级以上地方人民政府安全生产监督管理部门按照有关法律、法规、标准和本规定，对本辖区内的重大危险源实施安全监督管理。</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国家鼓励危险化学品单位采用有利于提高重大危险源安全保障水平的先进适用的工艺、技术、设备以及自动控制系统，推进安全生产监督管理部门重大危险源安全监管的信息化建设。</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辨识与评估</w:t>
      </w:r>
    </w:p>
    <w:p>
      <w:pPr>
        <w:ind w:firstLine="640" w:firstLineChars="200"/>
        <w:rPr>
          <w:rFonts w:ascii="黑体" w:hAnsi="黑体" w:eastAsia="黑体" w:cs="黑体"/>
          <w:color w:val="333333"/>
          <w:sz w:val="32"/>
          <w:szCs w:val="32"/>
          <w:shd w:val="clear" w:color="auto" w:fill="FFFFFF"/>
        </w:rPr>
      </w:pP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危险化学品单位应当按照《危险化学品重大危险源辨识》标准，对本单位的危险化学品生产、经营、储存和使用装置、设施或者场所进行重大危险源辨识，并记录辨识过程与结果。</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危险化学品单位应当对重大危险源进行安全评估并确定重大危险源等级。危险化学品单位可以组织本单位的注册安全工程师、技术人员或者聘请有关专家进行安全评估，也可以委托具有相应资质的安全评价机构进行安全评估。</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依照法律、行政法规的规定，危险化学品单位需要进行安全评价的，重大危险源安全评估可以与本单位的安全评价一起进行，以安全评价报告代替安全评估报告，也可以单独进行重大危险源安全评估。</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重大危险源根据其危险程度，分为一级、二级、三级和四级，一级为最高级别。重大危险源分级方法由本规定附件1列示。</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重大危险源有下列情形之一的，应当委托具有相应资质的安全评价机构，按照有关标准的规定采用定量风险评价方法进行安全评估，确定个人和社会风险值：</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（一）构成一级或者二级重大危险源，且毒性气体实际存在（在线）量与其在《危险化学品重大危险源辨识》中规定的临界量比值之和大于或等于1的；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（二）构成一级重大危险源，且爆炸品或液化易燃气体实际存在（在线）量与其在《危险化学品重大危险源辨识》中规定的临界量比值之和大于或等于1的。</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重大危险源安全评估报告应当客观公正、数据准确、内容完整、结论明确、措施可行，并包括下列内容：</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（一）评估的主要依据；</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（二）重大危险源的基本情况；</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（三）事故发生的可能性及危害程度；</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（四）个人风险和社会风险值（仅适用定量风险评价方法）；</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（五）可能受事故影响的周边场所、人员情况；</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（六）重大危险源辨识、分级的符合性分析；</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（七）安全管理措施、安全技术和监控措施；</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（八）事故应急措施；</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（九）评估结论与建议。</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危险化学品单位以安全评价报告代替安全评估报告的，其安全评价报告中有关重大危险源的内容应当符合本条第一款规定的要求。</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有下列情形之一的，危险化学品单位应当对重大危险源重新进行辨识、安全评估及分级：</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（一）重大危险源安全评估已满三年的；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（二）构成重大危险源的装置、设施或者场所进行新建、改建、扩建的；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（三）危险化学品种类、数量、生产、使用工艺或者储存方式及重要设备、设施等发生变化，影响重大危险源级别或者风险程度的；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（四）外界生产安全环境因素发生变化，影响重大危险源级别和风险程度的；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（五）发生危险化学品事故造成人员死亡，或者10人以上受伤，或者影响到公共安全的；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（六）有关重大危险源辨识和安全评估的国家标准、行业标准发生变化的。</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安全管理</w:t>
      </w:r>
    </w:p>
    <w:p>
      <w:pPr>
        <w:ind w:firstLine="640" w:firstLineChars="200"/>
        <w:rPr>
          <w:rFonts w:ascii="黑体" w:hAnsi="黑体" w:eastAsia="黑体" w:cs="黑体"/>
          <w:color w:val="333333"/>
          <w:sz w:val="32"/>
          <w:szCs w:val="32"/>
          <w:shd w:val="clear" w:color="auto" w:fill="FFFFFF"/>
        </w:rPr>
      </w:pP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危险化学品单位应当建立完善重大危险源安全管理规章制度和安全操作规程，并采取有效措施保证其得到执行。</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危险化学品单位应当根据构成重大危险源的危险化学品种类、数量、生产、使用工艺（方式）或者相关设备、设施等实际情况，按照下列要求建立健全安全监测监控体系，完善控制措施：</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（二）重大危险源的化工生产装置装备满足安全生产要求的自动化控制系统；一级或者二级重大危险源，装备紧急停车系统；</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（四）重大危险源中储存剧毒物质的场所或者设施，设置视频监控系统；</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（五）安全监测监控系统符合国家标准或者行业标准的规定。</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通过定量风险评价确定的重大危险源的个人和社会风险值，不得超过本规定附件2列示的个人和社会可容许风险限值标准。</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超过个人和社会可容许风险限值标准的，危险化学品单位应当采取相应的降低风险措施。</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危险化学品单位应当按照国家有关规定，定期对重大危险源的安全设施和安全监测监控系统进行检测、检验，并进行经常性维护、保养，保证重大危险源的安全设施和安全监测监控系统有效、可靠运行。维护、保养、检测应当作好记录，并由有关人员签字。</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危险化学品单位应当对重大危险源的管理和操作岗位人员进行安全操作技能培训，使其了解重大危险源的危险特性，熟悉重大危险源安全管理规章制度和安全操作规程，掌握本岗位的安全操作技能和应急措施。</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危险化学品单位应当在重大危险源所在场所设置明显的安全警示标志，写明紧急情况下的应急处置办法。</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危险化学品单位应当将重大危险源可能发生的事故后果和应急措施等信息，以适当方式告知可能受影响的单位、区域及人员。</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危险化学品单位应当制定重大危险源事故应急预案演练计划，并按照下列要求进行事故应急预案演练：</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（一）对重大危险源专项应急预案，每年至少进行一次；</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（二）对重大危险源现场处置方案，每半年至少进行一次。</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应急预案演练结束后，危险化学品单位应当对应急预案演练效果进行评估，撰写应急预案演练评估报告，分析存在的问题，对应急预案提出修订意见，并及时修订完善。</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危险化学品单位应当对辨识确认的重大危险源及时、逐项进行登记建档。</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重大危险源档案应当包括下列文件、资料：</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（一）辨识、分级记录；</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（二）重大危险源基本特征表；</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（三）涉及的所有化学品安全技术说明书；</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（四）区域位置图、平面布置图、工艺流程图和主要设备一览表；</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（五）重大危险源安全管理规章制度及安全操作规程；</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（六）安全监测监控系统、措施说明、检测、检验结果；</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（七）重大危险源事故应急预案、评审意见、演练计划和评估报告；</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（八）安全评估报告或者安全评价报告；</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（九）重大危险源关键装置、重点部位的责任人、责任机构名称；</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（十）重大危险源场所安全警示标志的设置情况；</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（十一）其他文件、资料。</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县级人民政府安全生产监督管理部门应当每季度将辖区内的一级、二级重大危险源备案材料报送至设区的市级人民政府安全生产监督管理部门。设区的市级人民政府安全生产监督管理部门应当每半年将辖区内的一级重大危险源备案材料报送至省级人民政府安全生产监督管理部门。</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重大危险源出现本规定第十一条所列情形之一的，危险化学品单位应当及时更新档案，并向所在地县级人民政府安全生产监督管理部门重新备案。</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危险化学品单位新建、改建和扩建危险化学品建设项目，应当在建设项目竣工验收前完成重大危险源的辨识、安全评估和分级、登记建档工作，并向所在地县级人民政府安全生产监督管理部门备案。</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 监督检查</w:t>
      </w:r>
    </w:p>
    <w:p>
      <w:pPr>
        <w:ind w:firstLine="640" w:firstLineChars="200"/>
        <w:rPr>
          <w:rFonts w:ascii="黑体" w:hAnsi="黑体" w:eastAsia="黑体" w:cs="黑体"/>
          <w:color w:val="333333"/>
          <w:sz w:val="32"/>
          <w:szCs w:val="32"/>
          <w:shd w:val="clear" w:color="auto" w:fill="FFFFFF"/>
        </w:rPr>
      </w:pP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rPr>
        <w:t>　县级人民政府安全生产监督管理部门应当建立健全危险化学品重大危险源管理制度，明确责任人员，加强资料归档。</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rPr>
        <w:t>　县级人民政府安全生产监督管理部门应当在每年1月15日前，将辖区内上一年度重大危险源的汇总信息报送至设区的市级人民政府安全生产监督管理部门。设区的市级人民政府安全生产监督管理部门应当在每年1月31日前，将辖区内上一年度重大危险源的汇总信息报送至省级人民政府安全生产监督管理部门。省级人民政府安全生产监督管理部门应当在每年2月15日前，将辖区内上一年度重大危险源的汇总信息报送至国家安全生产监督管理总局。</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rPr>
        <w:t>　重大危险源经过安全评价或者安全评估不再构成重大危险源的，危险化学品单位应当向所在地县级人民政府安全生产监督管理部门申请核销。</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申请核销重大危险源应当提交下列文件、资料：</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（一）载明核销理由的申请书；</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（二）单位名称、法定代表人、住所、联系人、联系方式；</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（三）安全评价报告或者安全评估报告。</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第二十八条</w:t>
      </w:r>
      <w:r>
        <w:rPr>
          <w:rFonts w:hint="eastAsia" w:ascii="仿宋_GB2312" w:hAnsi="仿宋_GB2312" w:eastAsia="仿宋_GB2312" w:cs="仿宋_GB2312"/>
          <w:color w:val="333333"/>
          <w:sz w:val="32"/>
          <w:szCs w:val="32"/>
          <w:shd w:val="clear" w:color="auto" w:fill="FFFFFF"/>
        </w:rPr>
        <w:t>　县级人民政府安全生产监督管理部门应当自收到申请核销的文件、资料之日起30日内进行审查，符合条件的，予以核销并出具证明文书；不符合条件的，说明理由并书面告知申请单位。必要时，县级人民政府安全生产监督管理部门应当聘请有关专家进行现场核查。</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第二十九条</w:t>
      </w:r>
      <w:r>
        <w:rPr>
          <w:rFonts w:hint="eastAsia" w:ascii="仿宋_GB2312" w:hAnsi="仿宋_GB2312" w:eastAsia="仿宋_GB2312" w:cs="仿宋_GB2312"/>
          <w:color w:val="333333"/>
          <w:sz w:val="32"/>
          <w:szCs w:val="32"/>
          <w:shd w:val="clear" w:color="auto" w:fill="FFFFFF"/>
        </w:rPr>
        <w:t>　县级人民政府安全生产监督管理部门应当每季度将辖区内一级、二级重大危险源的核销材料报送至设区的市级人民政府安全生产监督管理部门。设区的市级人民政府安全生产监督管理部门应当每半年将辖区内一级重大危险源的核销材料报送至省级人民政府安全生产监督管理部门。</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第三十条</w:t>
      </w:r>
      <w:r>
        <w:rPr>
          <w:rFonts w:hint="eastAsia" w:ascii="仿宋_GB2312" w:hAnsi="仿宋_GB2312" w:eastAsia="仿宋_GB2312" w:cs="仿宋_GB2312"/>
          <w:color w:val="333333"/>
          <w:sz w:val="32"/>
          <w:szCs w:val="32"/>
          <w:shd w:val="clear" w:color="auto" w:fill="FFFFFF"/>
        </w:rPr>
        <w:t>　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首次对重大危险源的监督检查应当包括下列主要内容：</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（一）重大危险源的运行情况、安全管理规章制度及安全操作规程制定和落实情况；</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（二）重大危险源的辨识、分级、安全评估、登记建档、备案情况；</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（三）重大危险源的监测监控情况；</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（四）重大危险源安全设施和安全监测监控系统的检测、检验以及维护保养情况；</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（五）重大危险源事故应急预案的编制、评审、备案、修订和演练情况；</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（六）有关从业人员的安全培训教育情况；</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（七）安全标志设置情况；</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（八）应急救援器材、设备、物资配备情况；</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（九）预防和控制事故措施的落实情况。</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第三十一条</w:t>
      </w:r>
      <w:r>
        <w:rPr>
          <w:rFonts w:hint="eastAsia" w:ascii="仿宋_GB2312" w:hAnsi="仿宋_GB2312" w:eastAsia="仿宋_GB2312" w:cs="仿宋_GB2312"/>
          <w:color w:val="333333"/>
          <w:sz w:val="32"/>
          <w:szCs w:val="32"/>
          <w:shd w:val="clear" w:color="auto" w:fill="FFFFFF"/>
        </w:rPr>
        <w:t>　县级以上地方各级人民政府安全生产监督管理部门应当会同本级人民政府有关部门，加强对工业（化工）园区等重大危险源集中区域的监督检查，确保重大危险源与周边单位、居民区、人员密集场所等重要目标和敏感场所之间保持适当的安全距离。</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第五章 法律责任</w:t>
      </w:r>
    </w:p>
    <w:p>
      <w:pPr>
        <w:ind w:firstLine="640" w:firstLineChars="200"/>
        <w:rPr>
          <w:rFonts w:ascii="黑体" w:hAnsi="黑体" w:eastAsia="黑体" w:cs="黑体"/>
          <w:color w:val="333333"/>
          <w:sz w:val="32"/>
          <w:szCs w:val="32"/>
          <w:shd w:val="clear" w:color="auto" w:fill="FFFFFF"/>
        </w:rPr>
      </w:pP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第三十二条</w:t>
      </w:r>
      <w:r>
        <w:rPr>
          <w:rFonts w:hint="eastAsia" w:ascii="仿宋_GB2312" w:hAnsi="仿宋_GB2312" w:eastAsia="仿宋_GB2312" w:cs="仿宋_GB2312"/>
          <w:color w:val="333333"/>
          <w:sz w:val="32"/>
          <w:szCs w:val="32"/>
          <w:shd w:val="clear" w:color="auto" w:fill="FFFFFF"/>
        </w:rPr>
        <w:t>　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（一）未按照本规定要求对重大危险源进行安全评估或者安全评价的；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（二）未按照本规定要求对重大危险源进行登记建档的；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（三）未按照本规定及相关标准要求对重大危险源进行安全监测监控的；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（四）未制定重大危险源事故应急预案的。</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第三十三条</w:t>
      </w:r>
      <w:r>
        <w:rPr>
          <w:rFonts w:hint="eastAsia" w:ascii="仿宋_GB2312" w:hAnsi="仿宋_GB2312" w:eastAsia="仿宋_GB2312" w:cs="仿宋_GB2312"/>
          <w:color w:val="333333"/>
          <w:sz w:val="32"/>
          <w:szCs w:val="32"/>
          <w:shd w:val="clear" w:color="auto" w:fill="FFFFFF"/>
        </w:rPr>
        <w:t>　危险化学品单位有下列行为之一的，由县级以上人民政府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（一）未在构成重大危险源的场所设置明显的安全警示标志的；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（二）未对重大危险源中的设备、设施等进行定期检测、检验的。</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第三十四条</w:t>
      </w:r>
      <w:r>
        <w:rPr>
          <w:rFonts w:hint="eastAsia" w:ascii="仿宋_GB2312" w:hAnsi="仿宋_GB2312" w:eastAsia="仿宋_GB2312" w:cs="仿宋_GB2312"/>
          <w:color w:val="333333"/>
          <w:sz w:val="32"/>
          <w:szCs w:val="32"/>
          <w:shd w:val="clear" w:color="auto" w:fill="FFFFFF"/>
        </w:rPr>
        <w:t>　危险化学品单位有下列情形之一的，由县级以上人民政府安全生产监督管理部门给予警告，可以并处5000元以上3万元以下的罚款：</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（一）未按照标准对重大危险源进行辨识的；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（二）未按照本规定明确重大危险源中关键装置、重点部位的责任人或者责任机构的；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（三）未按照本规定建立应急救援组织或者配备应急救援人员，以及配备必要的防护装备及器材、设备、物资，并保障其完好的；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（四）未按照本规定进行重大危险源备案或者核销的；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（五）未将重大危险源可能引发的事故后果、应急措施等信息告知可能受影响的单位、区域及人员的；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（六）未按照本规定要求开展重大危险源事故应急预案演练的。</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第三十五条</w:t>
      </w:r>
      <w:r>
        <w:rPr>
          <w:rFonts w:hint="eastAsia" w:ascii="仿宋_GB2312" w:hAnsi="仿宋_GB2312" w:eastAsia="仿宋_GB2312" w:cs="仿宋_GB2312"/>
          <w:color w:val="333333"/>
          <w:sz w:val="32"/>
          <w:szCs w:val="32"/>
          <w:shd w:val="clear" w:color="auto" w:fill="FFFFFF"/>
        </w:rPr>
        <w:t>　危险化学品单位未按照本规定对重大危险源的安全生产状况进行定期检查，采取措施消除事故隐患的，责令立即消除或者限期消除；危险化学品单位拒不执行的，责令停产停业整顿，并处10万元以上20万元以下的罚款，对其直接负责的主管人员和其他直接责任人员处2万元以上5万元以下的罚款。</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第三十六条</w:t>
      </w:r>
      <w:r>
        <w:rPr>
          <w:rFonts w:hint="eastAsia" w:ascii="仿宋_GB2312" w:hAnsi="仿宋_GB2312" w:eastAsia="仿宋_GB2312" w:cs="仿宋_GB2312"/>
          <w:color w:val="333333"/>
          <w:sz w:val="32"/>
          <w:szCs w:val="32"/>
          <w:shd w:val="clear" w:color="auto" w:fill="FFFFFF"/>
        </w:rPr>
        <w:t>　承担检测、检验、安全评价工作的机构，出具虚假证明的，没收违法所得；违法所得在10万元以上的，并处违法所得2倍以上5倍以下的罚款；没有违法所得或者违法所得不足10万元的，单处或者并处10万元以上20万元以下的罚款；对其直接负责的主管人员和其他直接责任人员处2万元以上5万元以下的罚款；给他人造成损害的，与危险化学品单位承担连带赔偿责任；构成犯罪的，依照刑法有关规定追究刑事责任。</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对有前款违法行为的机构，依法吊销其相应资质。</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第六章 附 </w:t>
      </w:r>
      <w:r>
        <w:rPr>
          <w:rFonts w:ascii="黑体" w:hAnsi="黑体" w:eastAsia="黑体" w:cs="黑体"/>
          <w:color w:val="333333"/>
          <w:sz w:val="32"/>
          <w:szCs w:val="32"/>
          <w:shd w:val="clear" w:color="auto" w:fill="FFFFFF"/>
        </w:rPr>
        <w:t xml:space="preserve"> </w:t>
      </w:r>
      <w:r>
        <w:rPr>
          <w:rFonts w:hint="eastAsia" w:ascii="黑体" w:hAnsi="黑体" w:eastAsia="黑体" w:cs="黑体"/>
          <w:color w:val="333333"/>
          <w:sz w:val="32"/>
          <w:szCs w:val="32"/>
          <w:shd w:val="clear" w:color="auto" w:fill="FFFFFF"/>
        </w:rPr>
        <w:t>则</w:t>
      </w:r>
    </w:p>
    <w:p>
      <w:pPr>
        <w:ind w:firstLine="640" w:firstLineChars="200"/>
        <w:rPr>
          <w:rFonts w:ascii="黑体" w:hAnsi="黑体" w:eastAsia="黑体" w:cs="黑体"/>
          <w:color w:val="333333"/>
          <w:sz w:val="32"/>
          <w:szCs w:val="32"/>
          <w:shd w:val="clear" w:color="auto" w:fill="FFFFFF"/>
        </w:rPr>
      </w:pP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第三十七条</w:t>
      </w:r>
      <w:r>
        <w:rPr>
          <w:rFonts w:hint="eastAsia" w:ascii="仿宋_GB2312" w:hAnsi="仿宋_GB2312" w:eastAsia="仿宋_GB2312" w:cs="仿宋_GB2312"/>
          <w:color w:val="333333"/>
          <w:sz w:val="32"/>
          <w:szCs w:val="32"/>
          <w:shd w:val="clear" w:color="auto" w:fill="FFFFFF"/>
        </w:rPr>
        <w:t>　本规定自2011年12月1日起施行。</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附件</w:t>
      </w:r>
      <w:r>
        <w:rPr>
          <w:rFonts w:hint="eastAsia" w:ascii="仿宋_GB2312" w:hAnsi="仿宋_GB2312" w:eastAsia="仿宋_GB2312" w:cs="仿宋_GB2312"/>
          <w:color w:val="333333"/>
          <w:sz w:val="32"/>
          <w:szCs w:val="32"/>
          <w:shd w:val="clear" w:color="auto" w:fill="FFFFFF"/>
        </w:rPr>
        <w:t>：1．危险化学品重大危险源分级方法</w:t>
      </w:r>
    </w:p>
    <w:p>
      <w:pPr>
        <w:ind w:firstLine="1600" w:firstLineChars="5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2．可容许风险标准</w:t>
      </w:r>
    </w:p>
    <w:p>
      <w:pPr>
        <w:rPr>
          <w:rFonts w:ascii="仿宋_GB2312" w:hAnsi="仿宋_GB2312" w:eastAsia="仿宋_GB2312" w:cs="仿宋_GB2312"/>
          <w:color w:val="333333"/>
          <w:sz w:val="32"/>
          <w:szCs w:val="32"/>
          <w:shd w:val="clear" w:color="auto" w:fill="FFFFFF"/>
        </w:rPr>
      </w:pPr>
    </w:p>
    <w:p>
      <w:pPr>
        <w:rPr>
          <w:rFonts w:ascii="仿宋_GB2312" w:hAnsi="仿宋_GB2312" w:eastAsia="仿宋_GB2312" w:cs="仿宋_GB2312"/>
          <w:color w:val="333333"/>
          <w:sz w:val="32"/>
          <w:szCs w:val="32"/>
          <w:shd w:val="clear" w:color="auto" w:fill="FFFFFF"/>
        </w:rPr>
      </w:pPr>
    </w:p>
    <w:p>
      <w:pPr>
        <w:rPr>
          <w:rFonts w:ascii="仿宋_GB2312" w:hAnsi="仿宋_GB2312" w:eastAsia="仿宋_GB2312" w:cs="仿宋_GB2312"/>
          <w:color w:val="333333"/>
          <w:sz w:val="32"/>
          <w:szCs w:val="32"/>
          <w:shd w:val="clear" w:color="auto" w:fill="FFFFFF"/>
        </w:rPr>
      </w:pPr>
    </w:p>
    <w:p>
      <w:pPr>
        <w:rPr>
          <w:rFonts w:ascii="仿宋_GB2312" w:hAnsi="仿宋_GB2312" w:eastAsia="仿宋_GB2312" w:cs="仿宋_GB2312"/>
          <w:color w:val="333333"/>
          <w:sz w:val="32"/>
          <w:szCs w:val="32"/>
          <w:shd w:val="clear" w:color="auto" w:fill="FFFFFF"/>
        </w:rPr>
      </w:pPr>
    </w:p>
    <w:p>
      <w:pPr>
        <w:rPr>
          <w:rFonts w:ascii="仿宋_GB2312" w:hAnsi="仿宋_GB2312" w:eastAsia="仿宋_GB2312" w:cs="仿宋_GB2312"/>
          <w:color w:val="333333"/>
          <w:sz w:val="32"/>
          <w:szCs w:val="32"/>
          <w:shd w:val="clear" w:color="auto" w:fill="FFFFFF"/>
        </w:rPr>
      </w:pPr>
    </w:p>
    <w:p>
      <w:pPr>
        <w:rPr>
          <w:rFonts w:ascii="仿宋_GB2312" w:hAnsi="仿宋_GB2312" w:eastAsia="仿宋_GB2312" w:cs="仿宋_GB2312"/>
          <w:color w:val="333333"/>
          <w:sz w:val="32"/>
          <w:szCs w:val="32"/>
          <w:shd w:val="clear" w:color="auto" w:fill="FFFFFF"/>
        </w:rPr>
      </w:pPr>
    </w:p>
    <w:p>
      <w:pPr>
        <w:rPr>
          <w:rFonts w:ascii="仿宋_GB2312" w:hAnsi="仿宋_GB2312" w:eastAsia="仿宋_GB2312" w:cs="仿宋_GB2312"/>
          <w:color w:val="333333"/>
          <w:sz w:val="32"/>
          <w:szCs w:val="32"/>
          <w:shd w:val="clear" w:color="auto" w:fill="FFFFFF"/>
        </w:rPr>
      </w:pPr>
    </w:p>
    <w:p>
      <w:pPr>
        <w:rPr>
          <w:rFonts w:ascii="仿宋_GB2312" w:hAnsi="仿宋_GB2312" w:eastAsia="仿宋_GB2312" w:cs="仿宋_GB2312"/>
          <w:color w:val="333333"/>
          <w:sz w:val="32"/>
          <w:szCs w:val="32"/>
          <w:shd w:val="clear" w:color="auto" w:fill="FFFFFF"/>
        </w:rPr>
      </w:pPr>
    </w:p>
    <w:p>
      <w:pPr>
        <w:rPr>
          <w:rFonts w:ascii="仿宋_GB2312" w:hAnsi="仿宋_GB2312" w:eastAsia="仿宋_GB2312" w:cs="仿宋_GB2312"/>
          <w:color w:val="333333"/>
          <w:sz w:val="32"/>
          <w:szCs w:val="32"/>
          <w:shd w:val="clear" w:color="auto" w:fill="FFFFFF"/>
        </w:rPr>
      </w:pPr>
    </w:p>
    <w:p>
      <w:pPr>
        <w:rPr>
          <w:rFonts w:ascii="仿宋_GB2312" w:hAnsi="仿宋_GB2312" w:eastAsia="仿宋_GB2312" w:cs="仿宋_GB2312"/>
          <w:color w:val="333333"/>
          <w:sz w:val="32"/>
          <w:szCs w:val="32"/>
          <w:shd w:val="clear" w:color="auto" w:fill="FFFFFF"/>
        </w:rPr>
      </w:pPr>
    </w:p>
    <w:p>
      <w:pPr>
        <w:rPr>
          <w:rFonts w:ascii="仿宋_GB2312" w:hAnsi="仿宋_GB2312" w:eastAsia="仿宋_GB2312" w:cs="仿宋_GB2312"/>
          <w:color w:val="333333"/>
          <w:sz w:val="32"/>
          <w:szCs w:val="32"/>
          <w:shd w:val="clear" w:color="auto" w:fill="FFFFFF"/>
        </w:rPr>
      </w:pPr>
    </w:p>
    <w:p>
      <w:pPr>
        <w:rPr>
          <w:rFonts w:ascii="仿宋_GB2312" w:hAnsi="仿宋_GB2312" w:eastAsia="仿宋_GB2312" w:cs="仿宋_GB2312"/>
          <w:color w:val="333333"/>
          <w:sz w:val="32"/>
          <w:szCs w:val="32"/>
          <w:shd w:val="clear" w:color="auto" w:fill="FFFFFF"/>
        </w:rPr>
      </w:pPr>
    </w:p>
    <w:p>
      <w:pPr>
        <w:rPr>
          <w:rFonts w:ascii="仿宋_GB2312" w:hAnsi="仿宋_GB2312" w:eastAsia="仿宋_GB2312" w:cs="仿宋_GB2312"/>
          <w:color w:val="333333"/>
          <w:sz w:val="32"/>
          <w:szCs w:val="32"/>
          <w:shd w:val="clear" w:color="auto" w:fill="FFFFFF"/>
        </w:rPr>
      </w:pPr>
    </w:p>
    <w:p>
      <w:pPr>
        <w:rPr>
          <w:rFonts w:ascii="仿宋_GB2312" w:hAnsi="仿宋_GB2312" w:eastAsia="仿宋_GB2312" w:cs="仿宋_GB2312"/>
          <w:color w:val="333333"/>
          <w:sz w:val="32"/>
          <w:szCs w:val="32"/>
          <w:shd w:val="clear" w:color="auto" w:fill="FFFFFF"/>
        </w:rPr>
      </w:pPr>
    </w:p>
    <w:p>
      <w:pPr>
        <w:rPr>
          <w:rFonts w:ascii="仿宋_GB2312" w:hAnsi="仿宋_GB2312" w:eastAsia="仿宋_GB2312" w:cs="仿宋_GB2312"/>
          <w:color w:val="333333"/>
          <w:sz w:val="32"/>
          <w:szCs w:val="32"/>
          <w:shd w:val="clear" w:color="auto" w:fill="FFFFFF"/>
        </w:rPr>
      </w:pPr>
    </w:p>
    <w:p>
      <w:pPr>
        <w:spacing w:line="560" w:lineRule="exact"/>
        <w:rPr>
          <w:rFonts w:ascii="仿宋_GB2312" w:hAnsi="Times New Roman" w:eastAsia="仿宋_GB2312" w:cs="Times New Roman"/>
          <w:sz w:val="32"/>
          <w:szCs w:val="32"/>
        </w:rPr>
      </w:pPr>
      <w:bookmarkStart w:id="0" w:name="_GoBack"/>
      <w:bookmarkEnd w:id="0"/>
    </w:p>
    <w:p>
      <w:pPr>
        <w:jc w:val="left"/>
        <w:rPr>
          <w:rFonts w:ascii="黑体" w:hAnsi="黑体" w:eastAsia="黑体" w:cs="Times New Roman"/>
          <w:b/>
          <w:sz w:val="32"/>
          <w:szCs w:val="32"/>
        </w:rPr>
      </w:pPr>
      <w:r>
        <w:rPr>
          <w:rFonts w:hint="eastAsia" w:ascii="黑体" w:hAnsi="黑体" w:eastAsia="黑体" w:cs="Times New Roman"/>
          <w:b/>
          <w:sz w:val="32"/>
          <w:szCs w:val="32"/>
        </w:rPr>
        <w:t>附件1</w:t>
      </w:r>
    </w:p>
    <w:p>
      <w:pPr>
        <w:jc w:val="center"/>
        <w:rPr>
          <w:rFonts w:ascii="黑体" w:hAnsi="黑体" w:eastAsia="黑体" w:cs="Times New Roman"/>
          <w:b/>
          <w:sz w:val="32"/>
          <w:szCs w:val="32"/>
        </w:rPr>
      </w:pPr>
      <w:r>
        <w:rPr>
          <w:rFonts w:hint="eastAsia" w:ascii="黑体" w:hAnsi="黑体" w:eastAsia="黑体" w:cs="Times New Roman"/>
          <w:b/>
          <w:sz w:val="32"/>
          <w:szCs w:val="32"/>
        </w:rPr>
        <w:t>危险化学品重大危险源分级方法</w:t>
      </w:r>
    </w:p>
    <w:p>
      <w:pPr>
        <w:jc w:val="center"/>
        <w:rPr>
          <w:rFonts w:ascii="华文中宋" w:hAnsi="华文中宋" w:eastAsia="华文中宋" w:cs="Times New Roman"/>
          <w:b/>
          <w:sz w:val="44"/>
          <w:szCs w:val="44"/>
        </w:rPr>
      </w:pPr>
    </w:p>
    <w:p>
      <w:pPr>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一、分级指标</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采用单元内各种危险化学品实际存在（在线）量与其在《危险化学品重大危险源辨识》（GB18218）中规定的临界量比值，经校正系数校正后的比值之和</w:t>
      </w:r>
      <w:r>
        <w:rPr>
          <w:rFonts w:hint="eastAsia" w:ascii="仿宋_GB2312" w:hAnsi="Times New Roman" w:eastAsia="仿宋_GB2312" w:cs="Times New Roman"/>
          <w:i/>
          <w:sz w:val="32"/>
          <w:szCs w:val="32"/>
        </w:rPr>
        <w:t>R</w:t>
      </w:r>
      <w:r>
        <w:rPr>
          <w:rFonts w:hint="eastAsia" w:ascii="仿宋_GB2312" w:hAnsi="Times New Roman" w:eastAsia="仿宋_GB2312" w:cs="Times New Roman"/>
          <w:sz w:val="32"/>
          <w:szCs w:val="32"/>
        </w:rPr>
        <w:t>作为分级指标。</w:t>
      </w:r>
    </w:p>
    <w:p>
      <w:pPr>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二、R的计算方法</w:t>
      </w:r>
    </w:p>
    <w:p>
      <w:pPr>
        <w:jc w:val="center"/>
        <w:rPr>
          <w:rFonts w:ascii="仿宋_GB2312" w:hAnsi="Times New Roman" w:eastAsia="仿宋_GB2312" w:cs="Times New Roman"/>
          <w:sz w:val="28"/>
          <w:szCs w:val="28"/>
        </w:rPr>
      </w:pPr>
      <w:r>
        <w:rPr>
          <w:rFonts w:ascii="Times New Roman" w:hAnsi="Times New Roman" w:eastAsia="宋体" w:cs="Times New Roman"/>
          <w:position w:val="-32"/>
          <w:sz w:val="28"/>
          <w:szCs w:val="28"/>
        </w:rPr>
        <w:object>
          <v:shape id="_x0000_i1025" o:spt="75" type="#_x0000_t75" style="height:46.5pt;width:216.5pt;" o:ole="t" fillcolor="#BBE0E3"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式中：</w:t>
      </w:r>
    </w:p>
    <w:p>
      <w:pPr>
        <w:ind w:firstLine="1440" w:firstLineChars="450"/>
        <w:rPr>
          <w:rFonts w:ascii="仿宋_GB2312" w:hAnsi="Times New Roman" w:eastAsia="仿宋_GB2312" w:cs="Times New Roman"/>
          <w:sz w:val="32"/>
          <w:szCs w:val="32"/>
        </w:rPr>
      </w:pPr>
      <w:r>
        <w:rPr>
          <w:rFonts w:hint="eastAsia" w:ascii="仿宋_GB2312" w:hAnsi="Times New Roman" w:eastAsia="仿宋_GB2312" w:cs="Times New Roman"/>
          <w:i/>
          <w:sz w:val="32"/>
          <w:szCs w:val="32"/>
        </w:rPr>
        <w:t>q</w:t>
      </w:r>
      <w:r>
        <w:rPr>
          <w:rFonts w:hint="eastAsia" w:ascii="仿宋_GB2312" w:hAnsi="Times New Roman" w:eastAsia="仿宋_GB2312" w:cs="Times New Roman"/>
          <w:i/>
          <w:sz w:val="32"/>
          <w:szCs w:val="32"/>
          <w:vertAlign w:val="subscript"/>
        </w:rPr>
        <w:t>1</w:t>
      </w:r>
      <w:r>
        <w:rPr>
          <w:rFonts w:hint="eastAsia" w:ascii="仿宋_GB2312" w:hAnsi="Times New Roman" w:eastAsia="仿宋_GB2312" w:cs="Times New Roman"/>
          <w:i/>
          <w:sz w:val="32"/>
          <w:szCs w:val="32"/>
        </w:rPr>
        <w:t>,q</w:t>
      </w:r>
      <w:r>
        <w:rPr>
          <w:rFonts w:hint="eastAsia" w:ascii="仿宋_GB2312" w:hAnsi="Times New Roman" w:eastAsia="仿宋_GB2312" w:cs="Times New Roman"/>
          <w:i/>
          <w:sz w:val="32"/>
          <w:szCs w:val="32"/>
          <w:vertAlign w:val="subscript"/>
        </w:rPr>
        <w:t>2</w:t>
      </w:r>
      <w:r>
        <w:rPr>
          <w:rFonts w:hint="eastAsia" w:ascii="仿宋_GB2312" w:hAnsi="Times New Roman" w:eastAsia="仿宋_GB2312" w:cs="Times New Roman"/>
          <w:i/>
          <w:sz w:val="32"/>
          <w:szCs w:val="32"/>
        </w:rPr>
        <w:t>,…,q</w:t>
      </w:r>
      <w:r>
        <w:rPr>
          <w:rFonts w:hint="eastAsia" w:ascii="仿宋_GB2312" w:hAnsi="Times New Roman" w:eastAsia="仿宋_GB2312" w:cs="Times New Roman"/>
          <w:i/>
          <w:sz w:val="32"/>
          <w:szCs w:val="32"/>
          <w:vertAlign w:val="subscript"/>
        </w:rPr>
        <w:t>n</w:t>
      </w:r>
      <w:r>
        <w:rPr>
          <w:rFonts w:hint="eastAsia" w:ascii="仿宋_GB2312" w:hAnsi="Times New Roman" w:eastAsia="仿宋_GB2312" w:cs="Times New Roman"/>
          <w:sz w:val="32"/>
          <w:szCs w:val="32"/>
        </w:rPr>
        <w:t xml:space="preserve"> —每种危险化学品实际存在（在线）量（单位：吨）；</w:t>
      </w:r>
    </w:p>
    <w:p>
      <w:pPr>
        <w:ind w:firstLine="1440" w:firstLineChars="450"/>
        <w:rPr>
          <w:rFonts w:ascii="仿宋_GB2312" w:hAnsi="Times New Roman" w:eastAsia="仿宋_GB2312" w:cs="Times New Roman"/>
          <w:sz w:val="32"/>
          <w:szCs w:val="32"/>
        </w:rPr>
      </w:pPr>
      <w:r>
        <w:rPr>
          <w:rFonts w:hint="eastAsia" w:ascii="仿宋_GB2312" w:hAnsi="Times New Roman" w:eastAsia="仿宋_GB2312" w:cs="Times New Roman"/>
          <w:i/>
          <w:sz w:val="32"/>
          <w:szCs w:val="32"/>
        </w:rPr>
        <w:t>Q</w:t>
      </w:r>
      <w:r>
        <w:rPr>
          <w:rFonts w:hint="eastAsia" w:ascii="仿宋_GB2312" w:hAnsi="Times New Roman" w:eastAsia="仿宋_GB2312" w:cs="Times New Roman"/>
          <w:i/>
          <w:sz w:val="32"/>
          <w:szCs w:val="32"/>
          <w:vertAlign w:val="subscript"/>
        </w:rPr>
        <w:t>1</w:t>
      </w:r>
      <w:r>
        <w:rPr>
          <w:rFonts w:hint="eastAsia" w:ascii="仿宋_GB2312" w:hAnsi="Times New Roman" w:eastAsia="仿宋_GB2312" w:cs="Times New Roman"/>
          <w:i/>
          <w:sz w:val="32"/>
          <w:szCs w:val="32"/>
        </w:rPr>
        <w:t>,Q</w:t>
      </w:r>
      <w:r>
        <w:rPr>
          <w:rFonts w:hint="eastAsia" w:ascii="仿宋_GB2312" w:hAnsi="Times New Roman" w:eastAsia="仿宋_GB2312" w:cs="Times New Roman"/>
          <w:i/>
          <w:sz w:val="32"/>
          <w:szCs w:val="32"/>
          <w:vertAlign w:val="subscript"/>
        </w:rPr>
        <w:t>2</w:t>
      </w:r>
      <w:r>
        <w:rPr>
          <w:rFonts w:hint="eastAsia" w:ascii="仿宋_GB2312" w:hAnsi="Times New Roman" w:eastAsia="仿宋_GB2312" w:cs="Times New Roman"/>
          <w:i/>
          <w:sz w:val="32"/>
          <w:szCs w:val="32"/>
        </w:rPr>
        <w:t>,…,Q</w:t>
      </w:r>
      <w:r>
        <w:rPr>
          <w:rFonts w:hint="eastAsia" w:ascii="仿宋_GB2312" w:hAnsi="Times New Roman" w:eastAsia="仿宋_GB2312" w:cs="Times New Roman"/>
          <w:i/>
          <w:sz w:val="32"/>
          <w:szCs w:val="32"/>
          <w:vertAlign w:val="subscript"/>
        </w:rPr>
        <w:t>n</w:t>
      </w:r>
      <w:r>
        <w:rPr>
          <w:rFonts w:hint="eastAsia" w:ascii="仿宋_GB2312" w:hAnsi="Times New Roman" w:eastAsia="仿宋_GB2312" w:cs="Times New Roman"/>
          <w:sz w:val="32"/>
          <w:szCs w:val="32"/>
        </w:rPr>
        <w:t xml:space="preserve"> —与各危险化学品相对应的临界量（单位：吨）；</w:t>
      </w:r>
    </w:p>
    <w:p>
      <w:pPr>
        <w:ind w:firstLine="1440" w:firstLineChars="450"/>
        <w:rPr>
          <w:rFonts w:ascii="仿宋_GB2312" w:hAnsi="Times New Roman" w:eastAsia="仿宋_GB2312" w:cs="Times New Roman"/>
          <w:sz w:val="32"/>
          <w:szCs w:val="32"/>
        </w:rPr>
      </w:pPr>
      <w:r>
        <w:rPr>
          <w:rFonts w:hint="eastAsia" w:ascii="仿宋_GB2312" w:hAnsi="Times New Roman" w:eastAsia="仿宋_GB2312" w:cs="Times New Roman"/>
          <w:i/>
          <w:sz w:val="32"/>
          <w:szCs w:val="32"/>
        </w:rPr>
        <w:t>β</w:t>
      </w:r>
      <w:r>
        <w:rPr>
          <w:rFonts w:hint="eastAsia" w:ascii="仿宋_GB2312" w:hAnsi="Times New Roman" w:eastAsia="仿宋_GB2312" w:cs="Times New Roman"/>
          <w:i/>
          <w:sz w:val="32"/>
          <w:szCs w:val="32"/>
          <w:vertAlign w:val="subscript"/>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i/>
          <w:sz w:val="32"/>
          <w:szCs w:val="32"/>
        </w:rPr>
        <w:t>β</w:t>
      </w:r>
      <w:r>
        <w:rPr>
          <w:rFonts w:hint="eastAsia" w:ascii="仿宋_GB2312" w:hAnsi="Times New Roman" w:eastAsia="仿宋_GB2312" w:cs="Times New Roman"/>
          <w:i/>
          <w:sz w:val="32"/>
          <w:szCs w:val="32"/>
          <w:vertAlign w:val="subscript"/>
        </w:rPr>
        <w:t>2</w:t>
      </w:r>
      <w:r>
        <w:rPr>
          <w:rFonts w:hint="eastAsia" w:ascii="仿宋_GB2312" w:hAnsi="Times New Roman" w:eastAsia="仿宋_GB2312" w:cs="Times New Roman"/>
          <w:i/>
          <w:sz w:val="32"/>
          <w:szCs w:val="32"/>
        </w:rPr>
        <w:t>…,β</w:t>
      </w:r>
      <w:r>
        <w:rPr>
          <w:rFonts w:hint="eastAsia" w:ascii="仿宋_GB2312" w:hAnsi="Times New Roman" w:eastAsia="仿宋_GB2312" w:cs="Times New Roman"/>
          <w:i/>
          <w:sz w:val="32"/>
          <w:szCs w:val="32"/>
          <w:vertAlign w:val="subscript"/>
        </w:rPr>
        <w:t>n</w:t>
      </w:r>
      <w:r>
        <w:rPr>
          <w:rFonts w:hint="eastAsia" w:ascii="仿宋_GB2312" w:hAnsi="Times New Roman" w:eastAsia="仿宋_GB2312" w:cs="Times New Roman"/>
          <w:sz w:val="32"/>
          <w:szCs w:val="32"/>
        </w:rPr>
        <w:t>— 与各危险化学品相对应的校正系数；</w:t>
      </w:r>
    </w:p>
    <w:p>
      <w:pPr>
        <w:ind w:firstLine="1440" w:firstLineChars="450"/>
        <w:rPr>
          <w:rFonts w:ascii="仿宋_GB2312" w:hAnsi="Times New Roman" w:eastAsia="仿宋_GB2312" w:cs="Times New Roman"/>
          <w:sz w:val="28"/>
          <w:szCs w:val="28"/>
        </w:rPr>
      </w:pPr>
      <w:r>
        <w:rPr>
          <w:rFonts w:hint="eastAsia" w:ascii="仿宋_GB2312" w:hAnsi="Times New Roman" w:eastAsia="仿宋_GB2312" w:cs="Times New Roman"/>
          <w:i/>
          <w:sz w:val="32"/>
          <w:szCs w:val="32"/>
        </w:rPr>
        <w:t>α</w:t>
      </w:r>
      <w:r>
        <w:rPr>
          <w:rFonts w:hint="eastAsia" w:ascii="仿宋_GB2312" w:hAnsi="Times New Roman" w:eastAsia="仿宋_GB2312" w:cs="Times New Roman"/>
          <w:sz w:val="32"/>
          <w:szCs w:val="32"/>
        </w:rPr>
        <w:t>— 该危险化学品重大危险源厂区外暴露人员的校正系数。</w:t>
      </w:r>
    </w:p>
    <w:p>
      <w:pPr>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三、校正系数</w:t>
      </w:r>
      <w:r>
        <w:rPr>
          <w:rFonts w:ascii="黑体" w:hAnsi="Times New Roman" w:eastAsia="黑体" w:cs="Times New Roman"/>
          <w:sz w:val="32"/>
          <w:szCs w:val="32"/>
        </w:rPr>
        <w:t>β</w:t>
      </w:r>
      <w:r>
        <w:rPr>
          <w:rFonts w:hint="eastAsia" w:ascii="黑体" w:hAnsi="Times New Roman" w:eastAsia="黑体" w:cs="Times New Roman"/>
          <w:sz w:val="32"/>
          <w:szCs w:val="32"/>
        </w:rPr>
        <w:t>的取值</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根据单元内危险化学品的类别不同，设定校正系数</w:t>
      </w:r>
      <w:r>
        <w:rPr>
          <w:rFonts w:hint="eastAsia" w:ascii="仿宋_GB2312" w:hAnsi="Times New Roman" w:eastAsia="仿宋_GB2312" w:cs="Times New Roman"/>
          <w:i/>
          <w:sz w:val="32"/>
          <w:szCs w:val="32"/>
        </w:rPr>
        <w:t>β</w:t>
      </w:r>
      <w:r>
        <w:rPr>
          <w:rFonts w:hint="eastAsia" w:ascii="仿宋_GB2312" w:hAnsi="Times New Roman" w:eastAsia="仿宋_GB2312" w:cs="Times New Roman"/>
          <w:sz w:val="32"/>
          <w:szCs w:val="32"/>
        </w:rPr>
        <w:t>值，见表1和表2：</w:t>
      </w:r>
    </w:p>
    <w:p>
      <w:pPr>
        <w:ind w:firstLine="300" w:firstLineChars="100"/>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表1 校正系数</w:t>
      </w:r>
      <w:r>
        <w:rPr>
          <w:rFonts w:ascii="Times New Roman" w:hAnsi="Times New Roman" w:eastAsia="仿宋_GB2312" w:cs="Times New Roman"/>
          <w:i/>
          <w:sz w:val="30"/>
          <w:szCs w:val="30"/>
        </w:rPr>
        <w:t>β</w:t>
      </w:r>
      <w:r>
        <w:rPr>
          <w:rFonts w:hint="eastAsia" w:ascii="仿宋_GB2312" w:hAnsi="Times New Roman" w:eastAsia="仿宋_GB2312" w:cs="Times New Roman"/>
          <w:sz w:val="30"/>
          <w:szCs w:val="30"/>
        </w:rPr>
        <w:t>取值表</w:t>
      </w:r>
    </w:p>
    <w:tbl>
      <w:tblPr>
        <w:tblStyle w:val="5"/>
        <w:tblW w:w="862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46"/>
        <w:gridCol w:w="1719"/>
        <w:gridCol w:w="1719"/>
        <w:gridCol w:w="1719"/>
        <w:gridCol w:w="17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46" w:type="dxa"/>
            <w:tcBorders>
              <w:top w:val="single" w:color="auto" w:sz="12" w:space="0"/>
              <w:left w:val="nil"/>
              <w:bottom w:val="single" w:color="auto" w:sz="4" w:space="0"/>
              <w:right w:val="single" w:color="auto" w:sz="4" w:space="0"/>
            </w:tcBorders>
            <w:vAlign w:val="center"/>
          </w:tcPr>
          <w:p>
            <w:pPr>
              <w:snapToGrid w:val="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危险化学品</w:t>
            </w:r>
          </w:p>
          <w:p>
            <w:pPr>
              <w:snapToGrid w:val="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类别</w:t>
            </w:r>
          </w:p>
        </w:tc>
        <w:tc>
          <w:tcPr>
            <w:tcW w:w="1719"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毒性气体</w:t>
            </w:r>
          </w:p>
        </w:tc>
        <w:tc>
          <w:tcPr>
            <w:tcW w:w="1719"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爆炸品</w:t>
            </w:r>
          </w:p>
        </w:tc>
        <w:tc>
          <w:tcPr>
            <w:tcW w:w="1719"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易燃气体</w:t>
            </w:r>
          </w:p>
        </w:tc>
        <w:tc>
          <w:tcPr>
            <w:tcW w:w="1719" w:type="dxa"/>
            <w:tcBorders>
              <w:top w:val="single" w:color="auto" w:sz="12" w:space="0"/>
              <w:left w:val="single" w:color="auto" w:sz="4" w:space="0"/>
              <w:bottom w:val="single" w:color="auto" w:sz="4" w:space="0"/>
              <w:right w:val="nil"/>
            </w:tcBorders>
            <w:vAlign w:val="center"/>
          </w:tcPr>
          <w:p>
            <w:pPr>
              <w:snapToGrid w:val="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其他类</w:t>
            </w:r>
          </w:p>
          <w:p>
            <w:pPr>
              <w:snapToGrid w:val="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危险化学品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46" w:type="dxa"/>
            <w:tcBorders>
              <w:top w:val="single" w:color="auto" w:sz="4" w:space="0"/>
              <w:left w:val="nil"/>
              <w:bottom w:val="single" w:color="auto" w:sz="12" w:space="0"/>
              <w:right w:val="single" w:color="auto" w:sz="4" w:space="0"/>
            </w:tcBorders>
            <w:vAlign w:val="center"/>
          </w:tcPr>
          <w:p>
            <w:pPr>
              <w:jc w:val="center"/>
              <w:rPr>
                <w:rFonts w:ascii="Times New Roman" w:hAnsi="Times New Roman" w:eastAsia="仿宋_GB2312" w:cs="Times New Roman"/>
                <w:i/>
                <w:sz w:val="30"/>
                <w:szCs w:val="30"/>
              </w:rPr>
            </w:pPr>
            <w:r>
              <w:rPr>
                <w:rFonts w:ascii="Times New Roman" w:hAnsi="Times New Roman" w:eastAsia="仿宋_GB2312" w:cs="Times New Roman"/>
                <w:i/>
                <w:sz w:val="30"/>
                <w:szCs w:val="30"/>
              </w:rPr>
              <w:t>β</w:t>
            </w:r>
          </w:p>
        </w:tc>
        <w:tc>
          <w:tcPr>
            <w:tcW w:w="1719" w:type="dxa"/>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见表</w:t>
            </w:r>
            <w:r>
              <w:rPr>
                <w:rFonts w:ascii="Times New Roman" w:hAnsi="Times New Roman" w:eastAsia="仿宋_GB2312" w:cs="Times New Roman"/>
                <w:sz w:val="30"/>
                <w:szCs w:val="30"/>
              </w:rPr>
              <w:t>2</w:t>
            </w:r>
          </w:p>
        </w:tc>
        <w:tc>
          <w:tcPr>
            <w:tcW w:w="1719" w:type="dxa"/>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2</w:t>
            </w:r>
          </w:p>
        </w:tc>
        <w:tc>
          <w:tcPr>
            <w:tcW w:w="1719" w:type="dxa"/>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1.5</w:t>
            </w:r>
          </w:p>
        </w:tc>
        <w:tc>
          <w:tcPr>
            <w:tcW w:w="1719" w:type="dxa"/>
            <w:tcBorders>
              <w:top w:val="single" w:color="auto" w:sz="4" w:space="0"/>
              <w:left w:val="single" w:color="auto" w:sz="4" w:space="0"/>
              <w:bottom w:val="single" w:color="auto" w:sz="12" w:space="0"/>
              <w:right w:val="nil"/>
            </w:tcBorders>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1</w:t>
            </w:r>
          </w:p>
        </w:tc>
      </w:tr>
    </w:tbl>
    <w:p>
      <w:pPr>
        <w:ind w:firstLine="280" w:firstLineChars="100"/>
        <w:rPr>
          <w:rFonts w:ascii="楷体_GB2312" w:hAnsi="Times New Roman" w:eastAsia="楷体_GB2312" w:cs="Times New Roman"/>
          <w:sz w:val="28"/>
          <w:szCs w:val="28"/>
        </w:rPr>
      </w:pPr>
      <w:r>
        <w:rPr>
          <w:rFonts w:hint="eastAsia" w:ascii="楷体_GB2312" w:hAnsi="Times New Roman" w:eastAsia="楷体_GB2312" w:cs="Times New Roman"/>
          <w:sz w:val="28"/>
          <w:szCs w:val="28"/>
        </w:rPr>
        <w:t>注：危险化学品类别依据《危险货物品名表》中分类标准确定。</w:t>
      </w:r>
    </w:p>
    <w:p>
      <w:pPr>
        <w:jc w:val="center"/>
        <w:rPr>
          <w:rFonts w:ascii="Times New Roman" w:hAnsi="Times New Roman" w:eastAsia="仿宋_GB2312" w:cs="Times New Roman"/>
          <w:sz w:val="28"/>
          <w:szCs w:val="28"/>
        </w:rPr>
      </w:pPr>
    </w:p>
    <w:p>
      <w:pPr>
        <w:jc w:val="center"/>
        <w:rPr>
          <w:rFonts w:ascii="仿宋_GB2312" w:hAnsi="Times New Roman" w:eastAsia="仿宋_GB2312" w:cs="Times New Roman"/>
          <w:sz w:val="30"/>
          <w:szCs w:val="30"/>
        </w:rPr>
      </w:pPr>
      <w:r>
        <w:rPr>
          <w:rFonts w:hint="eastAsia" w:ascii="Times New Roman" w:hAnsi="Times New Roman" w:eastAsia="仿宋_GB2312" w:cs="Times New Roman"/>
          <w:sz w:val="30"/>
          <w:szCs w:val="30"/>
        </w:rPr>
        <w:t>表</w:t>
      </w:r>
      <w:r>
        <w:rPr>
          <w:rFonts w:ascii="Times New Roman" w:hAnsi="Times New Roman" w:eastAsia="仿宋_GB2312" w:cs="Times New Roman"/>
          <w:sz w:val="30"/>
          <w:szCs w:val="30"/>
        </w:rPr>
        <w:t xml:space="preserve">2 </w:t>
      </w:r>
      <w:r>
        <w:rPr>
          <w:rFonts w:hint="eastAsia" w:ascii="Times New Roman" w:hAnsi="Times New Roman" w:eastAsia="仿宋_GB2312" w:cs="Times New Roman"/>
          <w:sz w:val="30"/>
          <w:szCs w:val="30"/>
        </w:rPr>
        <w:t>常见毒性气体</w:t>
      </w:r>
      <w:r>
        <w:rPr>
          <w:rFonts w:hint="eastAsia" w:ascii="仿宋_GB2312" w:hAnsi="Times New Roman" w:eastAsia="仿宋_GB2312" w:cs="Times New Roman"/>
          <w:sz w:val="30"/>
          <w:szCs w:val="30"/>
        </w:rPr>
        <w:t>校正系数</w:t>
      </w:r>
      <w:r>
        <w:rPr>
          <w:rFonts w:ascii="Times New Roman" w:hAnsi="Times New Roman" w:eastAsia="仿宋_GB2312" w:cs="Times New Roman"/>
          <w:i/>
          <w:sz w:val="30"/>
          <w:szCs w:val="30"/>
        </w:rPr>
        <w:t>β</w:t>
      </w:r>
      <w:r>
        <w:rPr>
          <w:rFonts w:hint="eastAsia" w:ascii="Times New Roman" w:hAnsi="Times New Roman" w:eastAsia="仿宋_GB2312" w:cs="Times New Roman"/>
          <w:sz w:val="30"/>
          <w:szCs w:val="30"/>
        </w:rPr>
        <w:t>值</w:t>
      </w:r>
      <w:r>
        <w:rPr>
          <w:rFonts w:hint="eastAsia" w:ascii="仿宋_GB2312" w:hAnsi="Times New Roman" w:eastAsia="仿宋_GB2312" w:cs="Times New Roman"/>
          <w:sz w:val="30"/>
          <w:szCs w:val="30"/>
        </w:rPr>
        <w:t>取值表</w:t>
      </w:r>
    </w:p>
    <w:tbl>
      <w:tblPr>
        <w:tblStyle w:val="5"/>
        <w:tblW w:w="862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1033"/>
        <w:gridCol w:w="1034"/>
        <w:gridCol w:w="1034"/>
        <w:gridCol w:w="1033"/>
        <w:gridCol w:w="1034"/>
        <w:gridCol w:w="1034"/>
        <w:gridCol w:w="10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86" w:type="dxa"/>
            <w:tcBorders>
              <w:top w:val="single" w:color="auto" w:sz="12" w:space="0"/>
              <w:left w:val="nil"/>
              <w:bottom w:val="single" w:color="auto" w:sz="4" w:space="0"/>
              <w:right w:val="single" w:color="auto" w:sz="4" w:space="0"/>
            </w:tcBorders>
            <w:vAlign w:val="center"/>
          </w:tcPr>
          <w:p>
            <w:pPr>
              <w:snapToGrid w:val="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毒性气体名称</w:t>
            </w:r>
          </w:p>
        </w:tc>
        <w:tc>
          <w:tcPr>
            <w:tcW w:w="1033" w:type="dxa"/>
            <w:tcBorders>
              <w:top w:val="single" w:color="auto" w:sz="12" w:space="0"/>
              <w:left w:val="single" w:color="auto" w:sz="4" w:space="0"/>
              <w:bottom w:val="single" w:color="auto" w:sz="4" w:space="0"/>
              <w:right w:val="single" w:color="auto" w:sz="4" w:space="0"/>
            </w:tcBorders>
            <w:vAlign w:val="center"/>
          </w:tcPr>
          <w:p>
            <w:pPr>
              <w:snapToGrid w:val="0"/>
              <w:ind w:left="-105" w:leftChars="-50" w:right="-105" w:rightChars="-5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一氧</w:t>
            </w:r>
          </w:p>
          <w:p>
            <w:pPr>
              <w:snapToGrid w:val="0"/>
              <w:ind w:left="-105" w:leftChars="-50" w:right="-105" w:rightChars="-5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化碳</w:t>
            </w:r>
          </w:p>
        </w:tc>
        <w:tc>
          <w:tcPr>
            <w:tcW w:w="1034" w:type="dxa"/>
            <w:tcBorders>
              <w:top w:val="single" w:color="auto" w:sz="12" w:space="0"/>
              <w:left w:val="single" w:color="auto" w:sz="4" w:space="0"/>
              <w:bottom w:val="single" w:color="auto" w:sz="4" w:space="0"/>
              <w:right w:val="single" w:color="auto" w:sz="4" w:space="0"/>
            </w:tcBorders>
            <w:vAlign w:val="center"/>
          </w:tcPr>
          <w:p>
            <w:pPr>
              <w:snapToGrid w:val="0"/>
              <w:ind w:left="-105" w:leftChars="-50" w:right="-105" w:rightChars="-5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二氧</w:t>
            </w:r>
          </w:p>
          <w:p>
            <w:pPr>
              <w:snapToGrid w:val="0"/>
              <w:ind w:left="-105" w:leftChars="-50" w:right="-105" w:rightChars="-5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化硫</w:t>
            </w:r>
          </w:p>
        </w:tc>
        <w:tc>
          <w:tcPr>
            <w:tcW w:w="1034" w:type="dxa"/>
            <w:tcBorders>
              <w:top w:val="single" w:color="auto" w:sz="12" w:space="0"/>
              <w:left w:val="single" w:color="auto" w:sz="4" w:space="0"/>
              <w:bottom w:val="single" w:color="auto" w:sz="4" w:space="0"/>
              <w:right w:val="single" w:color="auto" w:sz="4" w:space="0"/>
            </w:tcBorders>
            <w:vAlign w:val="center"/>
          </w:tcPr>
          <w:p>
            <w:pPr>
              <w:snapToGrid w:val="0"/>
              <w:ind w:left="-105" w:leftChars="-50" w:right="-105" w:rightChars="-5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氨</w:t>
            </w:r>
          </w:p>
        </w:tc>
        <w:tc>
          <w:tcPr>
            <w:tcW w:w="1033" w:type="dxa"/>
            <w:tcBorders>
              <w:top w:val="single" w:color="auto" w:sz="12" w:space="0"/>
              <w:left w:val="single" w:color="auto" w:sz="4" w:space="0"/>
              <w:bottom w:val="single" w:color="auto" w:sz="4" w:space="0"/>
              <w:right w:val="single" w:color="auto" w:sz="4" w:space="0"/>
            </w:tcBorders>
            <w:vAlign w:val="center"/>
          </w:tcPr>
          <w:p>
            <w:pPr>
              <w:snapToGrid w:val="0"/>
              <w:ind w:left="-105" w:leftChars="-50" w:right="-105" w:rightChars="-5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环氧</w:t>
            </w:r>
          </w:p>
          <w:p>
            <w:pPr>
              <w:snapToGrid w:val="0"/>
              <w:ind w:left="-105" w:leftChars="-50" w:right="-105" w:rightChars="-5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乙烷</w:t>
            </w:r>
          </w:p>
        </w:tc>
        <w:tc>
          <w:tcPr>
            <w:tcW w:w="1034" w:type="dxa"/>
            <w:tcBorders>
              <w:top w:val="single" w:color="auto" w:sz="12" w:space="0"/>
              <w:left w:val="single" w:color="auto" w:sz="4" w:space="0"/>
              <w:bottom w:val="single" w:color="auto" w:sz="4" w:space="0"/>
              <w:right w:val="single" w:color="auto" w:sz="4" w:space="0"/>
            </w:tcBorders>
            <w:vAlign w:val="center"/>
          </w:tcPr>
          <w:p>
            <w:pPr>
              <w:snapToGrid w:val="0"/>
              <w:ind w:left="-105" w:leftChars="-50" w:right="-105" w:rightChars="-5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氯化氢</w:t>
            </w:r>
          </w:p>
        </w:tc>
        <w:tc>
          <w:tcPr>
            <w:tcW w:w="1034" w:type="dxa"/>
            <w:tcBorders>
              <w:top w:val="single" w:color="auto" w:sz="12" w:space="0"/>
              <w:left w:val="single" w:color="auto" w:sz="4" w:space="0"/>
              <w:bottom w:val="single" w:color="auto" w:sz="4" w:space="0"/>
              <w:right w:val="single" w:color="auto" w:sz="4" w:space="0"/>
            </w:tcBorders>
            <w:vAlign w:val="center"/>
          </w:tcPr>
          <w:p>
            <w:pPr>
              <w:snapToGrid w:val="0"/>
              <w:ind w:left="-105" w:leftChars="-50" w:right="-105" w:rightChars="-5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溴甲烷</w:t>
            </w:r>
          </w:p>
        </w:tc>
        <w:tc>
          <w:tcPr>
            <w:tcW w:w="1034" w:type="dxa"/>
            <w:tcBorders>
              <w:top w:val="single" w:color="auto" w:sz="12" w:space="0"/>
              <w:left w:val="single" w:color="auto" w:sz="4" w:space="0"/>
              <w:bottom w:val="single" w:color="auto" w:sz="4" w:space="0"/>
              <w:right w:val="nil"/>
            </w:tcBorders>
            <w:vAlign w:val="center"/>
          </w:tcPr>
          <w:p>
            <w:pPr>
              <w:snapToGrid w:val="0"/>
              <w:ind w:left="-105" w:leftChars="-50" w:right="-105" w:rightChars="-5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86" w:type="dxa"/>
            <w:tcBorders>
              <w:top w:val="single" w:color="auto" w:sz="4" w:space="0"/>
              <w:left w:val="nil"/>
              <w:bottom w:val="double" w:color="auto" w:sz="4" w:space="0"/>
              <w:right w:val="single" w:color="auto" w:sz="4" w:space="0"/>
            </w:tcBorders>
            <w:vAlign w:val="center"/>
          </w:tcPr>
          <w:p>
            <w:pPr>
              <w:jc w:val="center"/>
              <w:rPr>
                <w:rFonts w:ascii="Times New Roman" w:hAnsi="Times New Roman" w:eastAsia="仿宋_GB2312" w:cs="Times New Roman"/>
                <w:i/>
                <w:sz w:val="30"/>
                <w:szCs w:val="30"/>
              </w:rPr>
            </w:pPr>
            <w:r>
              <w:rPr>
                <w:rFonts w:ascii="Times New Roman" w:hAnsi="Times New Roman" w:eastAsia="仿宋_GB2312" w:cs="Times New Roman"/>
                <w:i/>
                <w:sz w:val="30"/>
                <w:szCs w:val="30"/>
              </w:rPr>
              <w:t>β</w:t>
            </w:r>
          </w:p>
        </w:tc>
        <w:tc>
          <w:tcPr>
            <w:tcW w:w="1033" w:type="dxa"/>
            <w:tcBorders>
              <w:top w:val="single" w:color="auto" w:sz="4" w:space="0"/>
              <w:left w:val="single" w:color="auto" w:sz="4" w:space="0"/>
              <w:bottom w:val="double" w:color="auto" w:sz="4" w:space="0"/>
              <w:right w:val="single" w:color="auto" w:sz="4" w:space="0"/>
            </w:tcBorders>
            <w:vAlign w:val="center"/>
          </w:tcPr>
          <w:p>
            <w:pPr>
              <w:ind w:left="-105" w:leftChars="-50" w:right="-105" w:rightChars="-5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2</w:t>
            </w:r>
          </w:p>
        </w:tc>
        <w:tc>
          <w:tcPr>
            <w:tcW w:w="1034" w:type="dxa"/>
            <w:tcBorders>
              <w:top w:val="single" w:color="auto" w:sz="4" w:space="0"/>
              <w:left w:val="single" w:color="auto" w:sz="4" w:space="0"/>
              <w:bottom w:val="double" w:color="auto" w:sz="4" w:space="0"/>
              <w:right w:val="single" w:color="auto" w:sz="4" w:space="0"/>
            </w:tcBorders>
            <w:vAlign w:val="center"/>
          </w:tcPr>
          <w:p>
            <w:pPr>
              <w:ind w:left="-105" w:leftChars="-50" w:right="-105" w:rightChars="-5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2</w:t>
            </w:r>
          </w:p>
        </w:tc>
        <w:tc>
          <w:tcPr>
            <w:tcW w:w="1034" w:type="dxa"/>
            <w:tcBorders>
              <w:top w:val="single" w:color="auto" w:sz="4" w:space="0"/>
              <w:left w:val="single" w:color="auto" w:sz="4" w:space="0"/>
              <w:bottom w:val="double" w:color="auto" w:sz="4" w:space="0"/>
              <w:right w:val="single" w:color="auto" w:sz="4" w:space="0"/>
            </w:tcBorders>
            <w:vAlign w:val="center"/>
          </w:tcPr>
          <w:p>
            <w:pPr>
              <w:ind w:left="-105" w:leftChars="-50" w:right="-105" w:rightChars="-5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2</w:t>
            </w:r>
          </w:p>
        </w:tc>
        <w:tc>
          <w:tcPr>
            <w:tcW w:w="1033" w:type="dxa"/>
            <w:tcBorders>
              <w:top w:val="single" w:color="auto" w:sz="4" w:space="0"/>
              <w:left w:val="single" w:color="auto" w:sz="4" w:space="0"/>
              <w:bottom w:val="double" w:color="auto" w:sz="4" w:space="0"/>
              <w:right w:val="single" w:color="auto" w:sz="4" w:space="0"/>
            </w:tcBorders>
            <w:vAlign w:val="center"/>
          </w:tcPr>
          <w:p>
            <w:pPr>
              <w:ind w:left="-105" w:leftChars="-50" w:right="-105" w:rightChars="-5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2</w:t>
            </w:r>
          </w:p>
        </w:tc>
        <w:tc>
          <w:tcPr>
            <w:tcW w:w="1034" w:type="dxa"/>
            <w:tcBorders>
              <w:top w:val="single" w:color="auto" w:sz="4" w:space="0"/>
              <w:left w:val="single" w:color="auto" w:sz="4" w:space="0"/>
              <w:bottom w:val="double" w:color="auto" w:sz="4" w:space="0"/>
              <w:right w:val="single" w:color="auto" w:sz="4" w:space="0"/>
            </w:tcBorders>
            <w:vAlign w:val="center"/>
          </w:tcPr>
          <w:p>
            <w:pPr>
              <w:ind w:left="-105" w:leftChars="-50" w:right="-105" w:rightChars="-5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3</w:t>
            </w:r>
          </w:p>
        </w:tc>
        <w:tc>
          <w:tcPr>
            <w:tcW w:w="1034" w:type="dxa"/>
            <w:tcBorders>
              <w:top w:val="single" w:color="auto" w:sz="4" w:space="0"/>
              <w:left w:val="single" w:color="auto" w:sz="4" w:space="0"/>
              <w:bottom w:val="double" w:color="auto" w:sz="4" w:space="0"/>
              <w:right w:val="single" w:color="auto" w:sz="4" w:space="0"/>
            </w:tcBorders>
            <w:vAlign w:val="center"/>
          </w:tcPr>
          <w:p>
            <w:pPr>
              <w:ind w:left="-105" w:leftChars="-50" w:right="-105" w:rightChars="-5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3</w:t>
            </w:r>
          </w:p>
        </w:tc>
        <w:tc>
          <w:tcPr>
            <w:tcW w:w="1034" w:type="dxa"/>
            <w:tcBorders>
              <w:top w:val="single" w:color="auto" w:sz="4" w:space="0"/>
              <w:left w:val="single" w:color="auto" w:sz="4" w:space="0"/>
              <w:bottom w:val="double" w:color="auto" w:sz="4" w:space="0"/>
              <w:right w:val="nil"/>
            </w:tcBorders>
            <w:vAlign w:val="center"/>
          </w:tcPr>
          <w:p>
            <w:pPr>
              <w:ind w:left="-105" w:leftChars="-50" w:right="-105" w:rightChars="-5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86" w:type="dxa"/>
            <w:tcBorders>
              <w:top w:val="double" w:color="auto" w:sz="4" w:space="0"/>
              <w:left w:val="nil"/>
              <w:bottom w:val="single" w:color="auto" w:sz="4" w:space="0"/>
              <w:right w:val="single" w:color="auto" w:sz="4" w:space="0"/>
            </w:tcBorders>
            <w:vAlign w:val="center"/>
          </w:tcPr>
          <w:p>
            <w:pPr>
              <w:snapToGrid w:val="0"/>
              <w:spacing w:line="360" w:lineRule="exact"/>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毒性气体名称</w:t>
            </w:r>
          </w:p>
        </w:tc>
        <w:tc>
          <w:tcPr>
            <w:tcW w:w="1033" w:type="dxa"/>
            <w:tcBorders>
              <w:top w:val="double" w:color="auto" w:sz="4" w:space="0"/>
              <w:left w:val="single" w:color="auto" w:sz="4" w:space="0"/>
              <w:bottom w:val="single" w:color="auto" w:sz="4" w:space="0"/>
              <w:right w:val="single" w:color="auto" w:sz="4" w:space="0"/>
            </w:tcBorders>
            <w:vAlign w:val="center"/>
          </w:tcPr>
          <w:p>
            <w:pPr>
              <w:spacing w:line="360" w:lineRule="exact"/>
              <w:ind w:left="-105" w:leftChars="-50" w:right="-105" w:rightChars="-5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硫化氢</w:t>
            </w:r>
          </w:p>
        </w:tc>
        <w:tc>
          <w:tcPr>
            <w:tcW w:w="1034" w:type="dxa"/>
            <w:tcBorders>
              <w:top w:val="double" w:color="auto" w:sz="4" w:space="0"/>
              <w:left w:val="single" w:color="auto" w:sz="4" w:space="0"/>
              <w:bottom w:val="single" w:color="auto" w:sz="4" w:space="0"/>
              <w:right w:val="single" w:color="auto" w:sz="4" w:space="0"/>
            </w:tcBorders>
            <w:vAlign w:val="center"/>
          </w:tcPr>
          <w:p>
            <w:pPr>
              <w:spacing w:line="360" w:lineRule="exact"/>
              <w:ind w:left="-105" w:leftChars="-50" w:right="-105" w:rightChars="-5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氟化氢</w:t>
            </w:r>
          </w:p>
        </w:tc>
        <w:tc>
          <w:tcPr>
            <w:tcW w:w="1034" w:type="dxa"/>
            <w:tcBorders>
              <w:top w:val="double" w:color="auto" w:sz="4" w:space="0"/>
              <w:left w:val="single" w:color="auto" w:sz="4" w:space="0"/>
              <w:bottom w:val="single" w:color="auto" w:sz="4" w:space="0"/>
              <w:right w:val="single" w:color="auto" w:sz="4" w:space="0"/>
            </w:tcBorders>
            <w:vAlign w:val="center"/>
          </w:tcPr>
          <w:p>
            <w:pPr>
              <w:spacing w:line="360" w:lineRule="exact"/>
              <w:ind w:left="-105" w:leftChars="-50" w:right="-105" w:rightChars="-5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二氧</w:t>
            </w:r>
          </w:p>
          <w:p>
            <w:pPr>
              <w:spacing w:line="360" w:lineRule="exact"/>
              <w:ind w:left="-105" w:leftChars="-50" w:right="-105" w:rightChars="-5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化氮</w:t>
            </w:r>
          </w:p>
        </w:tc>
        <w:tc>
          <w:tcPr>
            <w:tcW w:w="1033" w:type="dxa"/>
            <w:tcBorders>
              <w:top w:val="double" w:color="auto" w:sz="4" w:space="0"/>
              <w:left w:val="single" w:color="auto" w:sz="4" w:space="0"/>
              <w:bottom w:val="single" w:color="auto" w:sz="4" w:space="0"/>
              <w:right w:val="single" w:color="auto" w:sz="4" w:space="0"/>
            </w:tcBorders>
            <w:vAlign w:val="center"/>
          </w:tcPr>
          <w:p>
            <w:pPr>
              <w:spacing w:line="360" w:lineRule="exact"/>
              <w:ind w:left="-105" w:leftChars="-50" w:right="-105" w:rightChars="-5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氰化氢</w:t>
            </w:r>
          </w:p>
        </w:tc>
        <w:tc>
          <w:tcPr>
            <w:tcW w:w="1034" w:type="dxa"/>
            <w:tcBorders>
              <w:top w:val="double" w:color="auto" w:sz="4" w:space="0"/>
              <w:left w:val="single" w:color="auto" w:sz="4" w:space="0"/>
              <w:bottom w:val="single" w:color="auto" w:sz="4" w:space="0"/>
              <w:right w:val="single" w:color="auto" w:sz="4" w:space="0"/>
            </w:tcBorders>
            <w:vAlign w:val="center"/>
          </w:tcPr>
          <w:p>
            <w:pPr>
              <w:spacing w:line="360" w:lineRule="exact"/>
              <w:ind w:left="-105" w:leftChars="-50" w:right="-105" w:rightChars="-5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碳酰氯</w:t>
            </w:r>
          </w:p>
        </w:tc>
        <w:tc>
          <w:tcPr>
            <w:tcW w:w="1034" w:type="dxa"/>
            <w:tcBorders>
              <w:top w:val="double" w:color="auto" w:sz="4" w:space="0"/>
              <w:left w:val="single" w:color="auto" w:sz="4" w:space="0"/>
              <w:bottom w:val="single" w:color="auto" w:sz="4" w:space="0"/>
              <w:right w:val="single" w:color="auto" w:sz="4" w:space="0"/>
            </w:tcBorders>
            <w:vAlign w:val="center"/>
          </w:tcPr>
          <w:p>
            <w:pPr>
              <w:spacing w:line="360" w:lineRule="exact"/>
              <w:ind w:left="-105" w:leftChars="-50" w:right="-105" w:rightChars="-5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磷化氢</w:t>
            </w:r>
          </w:p>
        </w:tc>
        <w:tc>
          <w:tcPr>
            <w:tcW w:w="1034" w:type="dxa"/>
            <w:tcBorders>
              <w:top w:val="double" w:color="auto" w:sz="4" w:space="0"/>
              <w:left w:val="single" w:color="auto" w:sz="4" w:space="0"/>
              <w:bottom w:val="single" w:color="auto" w:sz="4" w:space="0"/>
              <w:right w:val="nil"/>
            </w:tcBorders>
            <w:vAlign w:val="center"/>
          </w:tcPr>
          <w:p>
            <w:pPr>
              <w:spacing w:line="360" w:lineRule="exact"/>
              <w:ind w:left="-105" w:leftChars="-50" w:right="-105" w:rightChars="-50"/>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异氰酸甲酯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86" w:type="dxa"/>
            <w:tcBorders>
              <w:top w:val="single" w:color="auto" w:sz="4" w:space="0"/>
              <w:left w:val="nil"/>
              <w:bottom w:val="single" w:color="auto" w:sz="12" w:space="0"/>
              <w:right w:val="single" w:color="auto" w:sz="4" w:space="0"/>
            </w:tcBorders>
            <w:vAlign w:val="center"/>
          </w:tcPr>
          <w:p>
            <w:pPr>
              <w:snapToGrid w:val="0"/>
              <w:jc w:val="center"/>
              <w:rPr>
                <w:rFonts w:ascii="Times New Roman" w:hAnsi="Times New Roman" w:eastAsia="仿宋_GB2312" w:cs="Times New Roman"/>
                <w:i/>
                <w:sz w:val="30"/>
                <w:szCs w:val="30"/>
              </w:rPr>
            </w:pPr>
            <w:r>
              <w:rPr>
                <w:rFonts w:ascii="Times New Roman" w:hAnsi="Times New Roman" w:eastAsia="仿宋_GB2312" w:cs="Times New Roman"/>
                <w:i/>
                <w:sz w:val="30"/>
                <w:szCs w:val="30"/>
              </w:rPr>
              <w:t>β</w:t>
            </w:r>
          </w:p>
        </w:tc>
        <w:tc>
          <w:tcPr>
            <w:tcW w:w="1033" w:type="dxa"/>
            <w:tcBorders>
              <w:top w:val="single" w:color="auto" w:sz="4" w:space="0"/>
              <w:left w:val="single" w:color="auto" w:sz="4" w:space="0"/>
              <w:bottom w:val="single" w:color="auto" w:sz="12" w:space="0"/>
              <w:right w:val="single" w:color="auto" w:sz="4" w:space="0"/>
            </w:tcBorders>
            <w:vAlign w:val="center"/>
          </w:tcPr>
          <w:p>
            <w:pPr>
              <w:snapToGrid w:val="0"/>
              <w:ind w:left="-105" w:leftChars="-50" w:right="-105" w:rightChars="-5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5</w:t>
            </w:r>
          </w:p>
        </w:tc>
        <w:tc>
          <w:tcPr>
            <w:tcW w:w="1034" w:type="dxa"/>
            <w:tcBorders>
              <w:top w:val="single" w:color="auto" w:sz="4" w:space="0"/>
              <w:left w:val="single" w:color="auto" w:sz="4" w:space="0"/>
              <w:bottom w:val="single" w:color="auto" w:sz="12" w:space="0"/>
              <w:right w:val="single" w:color="auto" w:sz="4" w:space="0"/>
            </w:tcBorders>
            <w:vAlign w:val="center"/>
          </w:tcPr>
          <w:p>
            <w:pPr>
              <w:snapToGrid w:val="0"/>
              <w:ind w:left="-105" w:leftChars="-50" w:right="-105" w:rightChars="-5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5</w:t>
            </w:r>
          </w:p>
        </w:tc>
        <w:tc>
          <w:tcPr>
            <w:tcW w:w="1034" w:type="dxa"/>
            <w:tcBorders>
              <w:top w:val="single" w:color="auto" w:sz="4" w:space="0"/>
              <w:left w:val="single" w:color="auto" w:sz="4" w:space="0"/>
              <w:bottom w:val="single" w:color="auto" w:sz="12" w:space="0"/>
              <w:right w:val="single" w:color="auto" w:sz="4" w:space="0"/>
            </w:tcBorders>
            <w:vAlign w:val="center"/>
          </w:tcPr>
          <w:p>
            <w:pPr>
              <w:snapToGrid w:val="0"/>
              <w:ind w:left="-105" w:leftChars="-50" w:right="-105" w:rightChars="-5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10</w:t>
            </w:r>
          </w:p>
        </w:tc>
        <w:tc>
          <w:tcPr>
            <w:tcW w:w="1033" w:type="dxa"/>
            <w:tcBorders>
              <w:top w:val="single" w:color="auto" w:sz="4" w:space="0"/>
              <w:left w:val="single" w:color="auto" w:sz="4" w:space="0"/>
              <w:bottom w:val="single" w:color="auto" w:sz="12" w:space="0"/>
              <w:right w:val="single" w:color="auto" w:sz="4" w:space="0"/>
            </w:tcBorders>
            <w:vAlign w:val="center"/>
          </w:tcPr>
          <w:p>
            <w:pPr>
              <w:snapToGrid w:val="0"/>
              <w:ind w:left="-105" w:leftChars="-50" w:right="-105" w:rightChars="-5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10</w:t>
            </w:r>
          </w:p>
        </w:tc>
        <w:tc>
          <w:tcPr>
            <w:tcW w:w="1034" w:type="dxa"/>
            <w:tcBorders>
              <w:top w:val="single" w:color="auto" w:sz="4" w:space="0"/>
              <w:left w:val="single" w:color="auto" w:sz="4" w:space="0"/>
              <w:bottom w:val="single" w:color="auto" w:sz="12" w:space="0"/>
              <w:right w:val="single" w:color="auto" w:sz="4" w:space="0"/>
            </w:tcBorders>
            <w:vAlign w:val="center"/>
          </w:tcPr>
          <w:p>
            <w:pPr>
              <w:snapToGrid w:val="0"/>
              <w:ind w:left="-105" w:leftChars="-50" w:right="-105" w:rightChars="-5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20</w:t>
            </w:r>
          </w:p>
        </w:tc>
        <w:tc>
          <w:tcPr>
            <w:tcW w:w="1034" w:type="dxa"/>
            <w:tcBorders>
              <w:top w:val="single" w:color="auto" w:sz="4" w:space="0"/>
              <w:left w:val="single" w:color="auto" w:sz="4" w:space="0"/>
              <w:bottom w:val="single" w:color="auto" w:sz="12" w:space="0"/>
              <w:right w:val="single" w:color="auto" w:sz="4" w:space="0"/>
            </w:tcBorders>
            <w:vAlign w:val="center"/>
          </w:tcPr>
          <w:p>
            <w:pPr>
              <w:snapToGrid w:val="0"/>
              <w:ind w:left="-105" w:leftChars="-50" w:right="-105" w:rightChars="-5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20</w:t>
            </w:r>
          </w:p>
        </w:tc>
        <w:tc>
          <w:tcPr>
            <w:tcW w:w="1034" w:type="dxa"/>
            <w:tcBorders>
              <w:top w:val="single" w:color="auto" w:sz="4" w:space="0"/>
              <w:left w:val="single" w:color="auto" w:sz="4" w:space="0"/>
              <w:bottom w:val="single" w:color="auto" w:sz="12" w:space="0"/>
              <w:right w:val="nil"/>
            </w:tcBorders>
            <w:vAlign w:val="center"/>
          </w:tcPr>
          <w:p>
            <w:pPr>
              <w:snapToGrid w:val="0"/>
              <w:ind w:left="-105" w:leftChars="-50" w:right="-105" w:rightChars="-5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20</w:t>
            </w:r>
          </w:p>
        </w:tc>
      </w:tr>
    </w:tbl>
    <w:p>
      <w:pPr>
        <w:ind w:firstLine="280" w:firstLineChars="100"/>
        <w:rPr>
          <w:rFonts w:ascii="楷体_GB2312" w:hAnsi="Times New Roman" w:eastAsia="楷体_GB2312" w:cs="Times New Roman"/>
          <w:sz w:val="28"/>
          <w:szCs w:val="28"/>
        </w:rPr>
      </w:pPr>
      <w:r>
        <w:rPr>
          <w:rFonts w:hint="eastAsia" w:ascii="楷体_GB2312" w:hAnsi="Times New Roman" w:eastAsia="楷体_GB2312" w:cs="Times New Roman"/>
          <w:sz w:val="28"/>
          <w:szCs w:val="28"/>
        </w:rPr>
        <w:t>注：未在表2中列出的有毒气体可按</w:t>
      </w:r>
      <w:r>
        <w:rPr>
          <w:rFonts w:ascii="楷体_GB2312" w:hAnsi="Times New Roman" w:eastAsia="楷体_GB2312" w:cs="Times New Roman"/>
          <w:i/>
          <w:sz w:val="28"/>
          <w:szCs w:val="28"/>
        </w:rPr>
        <w:t>β</w:t>
      </w:r>
      <w:r>
        <w:rPr>
          <w:rFonts w:hint="eastAsia" w:ascii="楷体_GB2312" w:hAnsi="Times New Roman" w:eastAsia="楷体_GB2312" w:cs="Times New Roman"/>
          <w:sz w:val="28"/>
          <w:szCs w:val="28"/>
        </w:rPr>
        <w:t>=2取值，剧毒气体可按</w:t>
      </w:r>
      <w:r>
        <w:rPr>
          <w:rFonts w:ascii="楷体_GB2312" w:hAnsi="Times New Roman" w:eastAsia="楷体_GB2312" w:cs="Times New Roman"/>
          <w:i/>
          <w:sz w:val="28"/>
          <w:szCs w:val="28"/>
        </w:rPr>
        <w:t>β</w:t>
      </w:r>
      <w:r>
        <w:rPr>
          <w:rFonts w:hint="eastAsia" w:ascii="楷体_GB2312" w:hAnsi="Times New Roman" w:eastAsia="楷体_GB2312" w:cs="Times New Roman"/>
          <w:sz w:val="28"/>
          <w:szCs w:val="28"/>
        </w:rPr>
        <w:t>=4取值。</w:t>
      </w:r>
    </w:p>
    <w:p>
      <w:pPr>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四、校正系数</w:t>
      </w:r>
      <w:r>
        <w:rPr>
          <w:rFonts w:ascii="黑体" w:hAnsi="Times New Roman" w:eastAsia="黑体" w:cs="Times New Roman"/>
          <w:sz w:val="32"/>
          <w:szCs w:val="32"/>
        </w:rPr>
        <w:t>α</w:t>
      </w:r>
      <w:r>
        <w:rPr>
          <w:rFonts w:hint="eastAsia" w:ascii="黑体" w:hAnsi="Times New Roman" w:eastAsia="黑体" w:cs="Times New Roman"/>
          <w:sz w:val="32"/>
          <w:szCs w:val="32"/>
        </w:rPr>
        <w:t>的取值</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根据重大危险源的厂区边界向外扩展500米范围内常住人口数量，设定厂外暴露人员校正系数</w:t>
      </w:r>
      <w:r>
        <w:rPr>
          <w:rFonts w:hint="eastAsia" w:ascii="仿宋_GB2312" w:hAnsi="Times New Roman" w:eastAsia="仿宋_GB2312" w:cs="Times New Roman"/>
          <w:i/>
          <w:sz w:val="32"/>
          <w:szCs w:val="32"/>
        </w:rPr>
        <w:t>α</w:t>
      </w:r>
      <w:r>
        <w:rPr>
          <w:rFonts w:hint="eastAsia" w:ascii="仿宋_GB2312" w:hAnsi="Times New Roman" w:eastAsia="仿宋_GB2312" w:cs="Times New Roman"/>
          <w:sz w:val="32"/>
          <w:szCs w:val="32"/>
        </w:rPr>
        <w:t>值，见表3：</w:t>
      </w:r>
    </w:p>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br w:type="page"/>
      </w:r>
      <w:r>
        <w:rPr>
          <w:rFonts w:hint="eastAsia" w:ascii="仿宋_GB2312" w:hAnsi="Times New Roman" w:eastAsia="仿宋_GB2312" w:cs="Times New Roman"/>
          <w:sz w:val="30"/>
          <w:szCs w:val="30"/>
        </w:rPr>
        <w:t>表3 校正系数</w:t>
      </w:r>
      <w:r>
        <w:rPr>
          <w:rFonts w:ascii="Times New Roman" w:hAnsi="Times New Roman" w:eastAsia="仿宋_GB2312" w:cs="Times New Roman"/>
          <w:i/>
          <w:sz w:val="30"/>
          <w:szCs w:val="30"/>
        </w:rPr>
        <w:t>α</w:t>
      </w:r>
      <w:r>
        <w:rPr>
          <w:rFonts w:hint="eastAsia" w:ascii="仿宋_GB2312" w:hAnsi="Times New Roman" w:eastAsia="仿宋_GB2312" w:cs="Times New Roman"/>
          <w:sz w:val="30"/>
          <w:szCs w:val="30"/>
        </w:rPr>
        <w:t>取值表</w:t>
      </w:r>
    </w:p>
    <w:tbl>
      <w:tblPr>
        <w:tblStyle w:val="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78"/>
        <w:gridCol w:w="43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78" w:type="dxa"/>
            <w:tcBorders>
              <w:top w:val="single" w:color="auto" w:sz="12" w:space="0"/>
              <w:left w:val="nil"/>
              <w:bottom w:val="single" w:color="auto" w:sz="4" w:space="0"/>
              <w:right w:val="single" w:color="auto" w:sz="4" w:space="0"/>
            </w:tcBorders>
            <w:vAlign w:val="center"/>
          </w:tcPr>
          <w:p>
            <w:pPr>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厂外可能暴露人员数量</w:t>
            </w:r>
          </w:p>
        </w:tc>
        <w:tc>
          <w:tcPr>
            <w:tcW w:w="4379" w:type="dxa"/>
            <w:tcBorders>
              <w:top w:val="single" w:color="auto" w:sz="12" w:space="0"/>
              <w:left w:val="single" w:color="auto" w:sz="4" w:space="0"/>
              <w:bottom w:val="single" w:color="auto" w:sz="4" w:space="0"/>
              <w:right w:val="nil"/>
            </w:tcBorders>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i/>
                <w:sz w:val="30"/>
                <w:szCs w:val="30"/>
              </w:rPr>
              <w:t>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78"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100</w:t>
            </w:r>
            <w:r>
              <w:rPr>
                <w:rFonts w:hint="eastAsia" w:ascii="Times New Roman" w:hAnsi="Times New Roman" w:eastAsia="仿宋_GB2312" w:cs="Times New Roman"/>
                <w:sz w:val="30"/>
                <w:szCs w:val="30"/>
              </w:rPr>
              <w:t>人以上</w:t>
            </w:r>
          </w:p>
        </w:tc>
        <w:tc>
          <w:tcPr>
            <w:tcW w:w="4379" w:type="dxa"/>
            <w:tcBorders>
              <w:top w:val="single" w:color="auto" w:sz="4" w:space="0"/>
              <w:left w:val="single" w:color="auto" w:sz="4" w:space="0"/>
              <w:bottom w:val="single" w:color="auto" w:sz="4" w:space="0"/>
              <w:right w:val="nil"/>
            </w:tcBorders>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78"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50</w:t>
            </w:r>
            <w:r>
              <w:rPr>
                <w:rFonts w:hint="eastAsia" w:ascii="Times New Roman" w:hAnsi="Times New Roman" w:eastAsia="仿宋_GB2312" w:cs="Times New Roman"/>
                <w:sz w:val="30"/>
                <w:szCs w:val="30"/>
              </w:rPr>
              <w:t>人～</w:t>
            </w:r>
            <w:r>
              <w:rPr>
                <w:rFonts w:ascii="Times New Roman" w:hAnsi="Times New Roman" w:eastAsia="仿宋_GB2312" w:cs="Times New Roman"/>
                <w:sz w:val="30"/>
                <w:szCs w:val="30"/>
              </w:rPr>
              <w:t>99</w:t>
            </w:r>
            <w:r>
              <w:rPr>
                <w:rFonts w:hint="eastAsia" w:ascii="Times New Roman" w:hAnsi="Times New Roman" w:eastAsia="仿宋_GB2312" w:cs="Times New Roman"/>
                <w:sz w:val="30"/>
                <w:szCs w:val="30"/>
              </w:rPr>
              <w:t>人</w:t>
            </w:r>
          </w:p>
        </w:tc>
        <w:tc>
          <w:tcPr>
            <w:tcW w:w="4379" w:type="dxa"/>
            <w:tcBorders>
              <w:top w:val="single" w:color="auto" w:sz="4" w:space="0"/>
              <w:left w:val="single" w:color="auto" w:sz="4" w:space="0"/>
              <w:bottom w:val="single" w:color="auto" w:sz="4" w:space="0"/>
              <w:right w:val="nil"/>
            </w:tcBorders>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78"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30</w:t>
            </w:r>
            <w:r>
              <w:rPr>
                <w:rFonts w:hint="eastAsia" w:ascii="Times New Roman" w:hAnsi="Times New Roman" w:eastAsia="仿宋_GB2312" w:cs="Times New Roman"/>
                <w:sz w:val="30"/>
                <w:szCs w:val="30"/>
              </w:rPr>
              <w:t>人～</w:t>
            </w:r>
            <w:r>
              <w:rPr>
                <w:rFonts w:ascii="Times New Roman" w:hAnsi="Times New Roman" w:eastAsia="仿宋_GB2312" w:cs="Times New Roman"/>
                <w:sz w:val="30"/>
                <w:szCs w:val="30"/>
              </w:rPr>
              <w:t>49</w:t>
            </w:r>
            <w:r>
              <w:rPr>
                <w:rFonts w:hint="eastAsia" w:ascii="Times New Roman" w:hAnsi="Times New Roman" w:eastAsia="仿宋_GB2312" w:cs="Times New Roman"/>
                <w:sz w:val="30"/>
                <w:szCs w:val="30"/>
              </w:rPr>
              <w:t>人</w:t>
            </w:r>
          </w:p>
        </w:tc>
        <w:tc>
          <w:tcPr>
            <w:tcW w:w="4379" w:type="dxa"/>
            <w:tcBorders>
              <w:top w:val="single" w:color="auto" w:sz="4" w:space="0"/>
              <w:left w:val="single" w:color="auto" w:sz="4" w:space="0"/>
              <w:bottom w:val="single" w:color="auto" w:sz="4" w:space="0"/>
              <w:right w:val="nil"/>
            </w:tcBorders>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78"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29</w:t>
            </w:r>
            <w:r>
              <w:rPr>
                <w:rFonts w:hint="eastAsia" w:ascii="Times New Roman" w:hAnsi="Times New Roman" w:eastAsia="仿宋_GB2312" w:cs="Times New Roman"/>
                <w:sz w:val="30"/>
                <w:szCs w:val="30"/>
              </w:rPr>
              <w:t>人</w:t>
            </w:r>
          </w:p>
        </w:tc>
        <w:tc>
          <w:tcPr>
            <w:tcW w:w="4379" w:type="dxa"/>
            <w:tcBorders>
              <w:top w:val="single" w:color="auto" w:sz="4" w:space="0"/>
              <w:left w:val="single" w:color="auto" w:sz="4" w:space="0"/>
              <w:bottom w:val="single" w:color="auto" w:sz="4" w:space="0"/>
              <w:right w:val="nil"/>
            </w:tcBorders>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78" w:type="dxa"/>
            <w:tcBorders>
              <w:top w:val="single" w:color="auto" w:sz="4" w:space="0"/>
              <w:left w:val="nil"/>
              <w:bottom w:val="single" w:color="auto" w:sz="12" w:space="0"/>
              <w:right w:val="single" w:color="auto" w:sz="4" w:space="0"/>
            </w:tcBorders>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0</w:t>
            </w:r>
            <w:r>
              <w:rPr>
                <w:rFonts w:hint="eastAsia" w:ascii="Times New Roman" w:hAnsi="Times New Roman" w:eastAsia="仿宋_GB2312" w:cs="Times New Roman"/>
                <w:sz w:val="30"/>
                <w:szCs w:val="30"/>
              </w:rPr>
              <w:t>人</w:t>
            </w:r>
          </w:p>
        </w:tc>
        <w:tc>
          <w:tcPr>
            <w:tcW w:w="4379" w:type="dxa"/>
            <w:tcBorders>
              <w:top w:val="single" w:color="auto" w:sz="4" w:space="0"/>
              <w:left w:val="single" w:color="auto" w:sz="4" w:space="0"/>
              <w:bottom w:val="single" w:color="auto" w:sz="12" w:space="0"/>
              <w:right w:val="nil"/>
            </w:tcBorders>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0.5</w:t>
            </w:r>
          </w:p>
        </w:tc>
      </w:tr>
    </w:tbl>
    <w:p>
      <w:pPr>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五、分级标准</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根据计算出来的</w:t>
      </w:r>
      <w:r>
        <w:rPr>
          <w:rFonts w:ascii="Times New Roman" w:hAnsi="Times New Roman" w:eastAsia="仿宋_GB2312" w:cs="Times New Roman"/>
          <w:i/>
          <w:sz w:val="32"/>
          <w:szCs w:val="32"/>
        </w:rPr>
        <w:t>R</w:t>
      </w:r>
      <w:r>
        <w:rPr>
          <w:rFonts w:hint="eastAsia" w:ascii="仿宋_GB2312" w:hAnsi="Times New Roman" w:eastAsia="仿宋_GB2312" w:cs="Times New Roman"/>
          <w:sz w:val="32"/>
          <w:szCs w:val="32"/>
        </w:rPr>
        <w:t>值，按表4确定危险化学品重大危险源的级别。</w:t>
      </w:r>
    </w:p>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表4 危险化学品重大危险源级别和</w:t>
      </w:r>
      <w:r>
        <w:rPr>
          <w:rFonts w:ascii="Times New Roman" w:hAnsi="Times New Roman" w:eastAsia="仿宋_GB2312" w:cs="Times New Roman"/>
          <w:i/>
          <w:sz w:val="30"/>
          <w:szCs w:val="30"/>
        </w:rPr>
        <w:t>R</w:t>
      </w:r>
      <w:r>
        <w:rPr>
          <w:rFonts w:hint="eastAsia" w:ascii="仿宋_GB2312" w:hAnsi="Times New Roman" w:eastAsia="仿宋_GB2312" w:cs="Times New Roman"/>
          <w:sz w:val="30"/>
          <w:szCs w:val="30"/>
        </w:rPr>
        <w:t>值的对应关系</w:t>
      </w:r>
    </w:p>
    <w:tbl>
      <w:tblPr>
        <w:tblStyle w:val="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66"/>
        <w:gridCol w:w="42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66" w:type="dxa"/>
            <w:tcBorders>
              <w:top w:val="single" w:color="auto" w:sz="12" w:space="0"/>
              <w:left w:val="nil"/>
              <w:bottom w:val="single" w:color="auto" w:sz="4" w:space="0"/>
              <w:right w:val="single" w:color="auto" w:sz="4" w:space="0"/>
            </w:tcBorders>
            <w:vAlign w:val="center"/>
          </w:tcPr>
          <w:p>
            <w:pPr>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危险化学品重大危险源级别</w:t>
            </w:r>
          </w:p>
        </w:tc>
        <w:tc>
          <w:tcPr>
            <w:tcW w:w="4270" w:type="dxa"/>
            <w:tcBorders>
              <w:top w:val="single" w:color="auto" w:sz="12" w:space="0"/>
              <w:left w:val="single" w:color="auto" w:sz="4" w:space="0"/>
              <w:bottom w:val="single" w:color="auto" w:sz="4" w:space="0"/>
              <w:right w:val="nil"/>
            </w:tcBorders>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i/>
                <w:sz w:val="30"/>
                <w:szCs w:val="30"/>
              </w:rPr>
              <w:t>R</w:t>
            </w:r>
            <w:r>
              <w:rPr>
                <w:rFonts w:hint="eastAsia" w:ascii="Times New Roman" w:hAnsi="Times New Roman" w:eastAsia="仿宋_GB2312" w:cs="Times New Roman"/>
                <w:sz w:val="30"/>
                <w:szCs w:val="30"/>
              </w:rPr>
              <w:t>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6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一级</w:t>
            </w:r>
          </w:p>
        </w:tc>
        <w:tc>
          <w:tcPr>
            <w:tcW w:w="4270" w:type="dxa"/>
            <w:tcBorders>
              <w:top w:val="single" w:color="auto" w:sz="4" w:space="0"/>
              <w:left w:val="single" w:color="auto" w:sz="4" w:space="0"/>
              <w:bottom w:val="single" w:color="auto" w:sz="4" w:space="0"/>
              <w:right w:val="nil"/>
            </w:tcBorders>
            <w:vAlign w:val="center"/>
          </w:tcPr>
          <w:p>
            <w:pPr>
              <w:jc w:val="center"/>
              <w:rPr>
                <w:rFonts w:ascii="Times New Roman" w:hAnsi="Times New Roman" w:eastAsia="仿宋_GB2312" w:cs="Times New Roman"/>
                <w:i/>
                <w:sz w:val="30"/>
                <w:szCs w:val="30"/>
              </w:rPr>
            </w:pPr>
            <w:r>
              <w:rPr>
                <w:rFonts w:ascii="Times New Roman" w:hAnsi="Times New Roman" w:eastAsia="仿宋_GB2312" w:cs="Times New Roman"/>
                <w:i/>
                <w:sz w:val="30"/>
                <w:szCs w:val="30"/>
              </w:rPr>
              <w:t>R≥</w:t>
            </w:r>
            <w:r>
              <w:rPr>
                <w:rFonts w:ascii="Times New Roman" w:hAnsi="Times New Roman" w:eastAsia="仿宋_GB2312" w:cs="Times New Roman"/>
                <w:sz w:val="30"/>
                <w:szCs w:val="30"/>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6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二级</w:t>
            </w:r>
          </w:p>
        </w:tc>
        <w:tc>
          <w:tcPr>
            <w:tcW w:w="4270" w:type="dxa"/>
            <w:tcBorders>
              <w:top w:val="single" w:color="auto" w:sz="4" w:space="0"/>
              <w:left w:val="single" w:color="auto" w:sz="4" w:space="0"/>
              <w:bottom w:val="single" w:color="auto" w:sz="4" w:space="0"/>
              <w:right w:val="nil"/>
            </w:tcBorders>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100</w:t>
            </w:r>
            <w:r>
              <w:rPr>
                <w:rFonts w:ascii="Times New Roman" w:hAnsi="Times New Roman" w:eastAsia="仿宋_GB2312" w:cs="Times New Roman"/>
                <w:i/>
                <w:sz w:val="30"/>
                <w:szCs w:val="30"/>
              </w:rPr>
              <w:t>&gt;R≥</w:t>
            </w:r>
            <w:r>
              <w:rPr>
                <w:rFonts w:ascii="Times New Roman" w:hAnsi="Times New Roman" w:eastAsia="仿宋_GB2312" w:cs="Times New Roman"/>
                <w:sz w:val="30"/>
                <w:szCs w:val="30"/>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6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三级</w:t>
            </w:r>
          </w:p>
        </w:tc>
        <w:tc>
          <w:tcPr>
            <w:tcW w:w="4270" w:type="dxa"/>
            <w:tcBorders>
              <w:top w:val="single" w:color="auto" w:sz="4" w:space="0"/>
              <w:left w:val="single" w:color="auto" w:sz="4" w:space="0"/>
              <w:bottom w:val="single" w:color="auto" w:sz="4" w:space="0"/>
              <w:right w:val="nil"/>
            </w:tcBorders>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50</w:t>
            </w:r>
            <w:r>
              <w:rPr>
                <w:rFonts w:ascii="Times New Roman" w:hAnsi="Times New Roman" w:eastAsia="仿宋_GB2312" w:cs="Times New Roman"/>
                <w:i/>
                <w:sz w:val="30"/>
                <w:szCs w:val="30"/>
              </w:rPr>
              <w:t>&gt;R≥</w:t>
            </w:r>
            <w:r>
              <w:rPr>
                <w:rFonts w:ascii="Times New Roman" w:hAnsi="Times New Roman" w:eastAsia="仿宋_GB2312" w:cs="Times New Roman"/>
                <w:sz w:val="30"/>
                <w:szCs w:val="30"/>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66" w:type="dxa"/>
            <w:tcBorders>
              <w:top w:val="single" w:color="auto" w:sz="4" w:space="0"/>
              <w:left w:val="nil"/>
              <w:bottom w:val="single" w:color="auto" w:sz="12" w:space="0"/>
              <w:right w:val="single" w:color="auto" w:sz="4" w:space="0"/>
            </w:tcBorders>
            <w:vAlign w:val="center"/>
          </w:tcPr>
          <w:p>
            <w:pPr>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四级</w:t>
            </w:r>
          </w:p>
        </w:tc>
        <w:tc>
          <w:tcPr>
            <w:tcW w:w="4270" w:type="dxa"/>
            <w:tcBorders>
              <w:top w:val="single" w:color="auto" w:sz="4" w:space="0"/>
              <w:left w:val="single" w:color="auto" w:sz="4" w:space="0"/>
              <w:bottom w:val="single" w:color="auto" w:sz="12" w:space="0"/>
              <w:right w:val="nil"/>
            </w:tcBorders>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i/>
                <w:sz w:val="30"/>
                <w:szCs w:val="30"/>
              </w:rPr>
              <w:t>R&lt;</w:t>
            </w:r>
            <w:r>
              <w:rPr>
                <w:rFonts w:ascii="Times New Roman" w:hAnsi="Times New Roman" w:eastAsia="仿宋_GB2312" w:cs="Times New Roman"/>
                <w:sz w:val="30"/>
                <w:szCs w:val="30"/>
              </w:rPr>
              <w:t>10</w:t>
            </w:r>
          </w:p>
        </w:tc>
      </w:tr>
    </w:tbl>
    <w:p>
      <w:pPr>
        <w:ind w:firstLine="420" w:firstLineChars="200"/>
        <w:rPr>
          <w:rFonts w:ascii="Times New Roman" w:hAnsi="Times New Roman" w:eastAsia="宋体" w:cs="Times New Roman"/>
          <w:szCs w:val="20"/>
        </w:rPr>
      </w:pPr>
    </w:p>
    <w:p>
      <w:pPr>
        <w:rPr>
          <w:rFonts w:ascii="仿宋_GB2312" w:hAnsi="仿宋_GB2312" w:eastAsia="仿宋_GB2312" w:cs="仿宋_GB2312"/>
          <w:color w:val="333333"/>
          <w:sz w:val="32"/>
          <w:szCs w:val="32"/>
          <w:shd w:val="clear" w:color="auto" w:fill="FFFFFF"/>
        </w:rPr>
      </w:pPr>
    </w:p>
    <w:p>
      <w:pPr>
        <w:rPr>
          <w:rFonts w:ascii="仿宋_GB2312" w:hAnsi="仿宋_GB2312" w:eastAsia="仿宋_GB2312" w:cs="仿宋_GB2312"/>
          <w:color w:val="333333"/>
          <w:sz w:val="32"/>
          <w:szCs w:val="32"/>
          <w:shd w:val="clear" w:color="auto" w:fill="FFFFFF"/>
        </w:rPr>
      </w:pPr>
    </w:p>
    <w:p>
      <w:pPr>
        <w:rPr>
          <w:rFonts w:ascii="黑体" w:hAnsi="黑体" w:eastAsia="黑体" w:cs="Times New Roman"/>
          <w:sz w:val="32"/>
          <w:szCs w:val="32"/>
        </w:rPr>
      </w:pPr>
      <w:r>
        <w:rPr>
          <w:rFonts w:hint="eastAsia" w:ascii="黑体" w:hAnsi="黑体" w:eastAsia="黑体" w:cs="Times New Roman"/>
          <w:sz w:val="32"/>
          <w:szCs w:val="32"/>
        </w:rPr>
        <w:t>附件2</w:t>
      </w:r>
    </w:p>
    <w:p>
      <w:pPr>
        <w:jc w:val="center"/>
        <w:rPr>
          <w:rFonts w:ascii="黑体" w:hAnsi="黑体" w:eastAsia="黑体" w:cs="Times New Roman"/>
          <w:b/>
          <w:sz w:val="32"/>
          <w:szCs w:val="32"/>
        </w:rPr>
      </w:pPr>
      <w:r>
        <w:rPr>
          <w:rFonts w:hint="eastAsia" w:ascii="黑体" w:hAnsi="黑体" w:eastAsia="黑体" w:cs="Times New Roman"/>
          <w:b/>
          <w:sz w:val="32"/>
          <w:szCs w:val="32"/>
        </w:rPr>
        <w:t>可容许风险标准</w:t>
      </w:r>
    </w:p>
    <w:p>
      <w:pPr>
        <w:jc w:val="center"/>
        <w:rPr>
          <w:rFonts w:ascii="华文中宋" w:hAnsi="华文中宋" w:eastAsia="华文中宋" w:cs="Times New Roman"/>
          <w:b/>
          <w:sz w:val="44"/>
          <w:szCs w:val="44"/>
        </w:rPr>
      </w:pPr>
    </w:p>
    <w:p>
      <w:pPr>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一、可容许个人风险标准</w:t>
      </w:r>
    </w:p>
    <w:p>
      <w:pPr>
        <w:ind w:firstLine="640" w:firstLineChars="200"/>
        <w:rPr>
          <w:rFonts w:ascii="仿宋_GB2312" w:hAnsi="TimesNewRomanPSMT" w:eastAsia="仿宋_GB2312" w:cs="宋体"/>
          <w:kern w:val="0"/>
          <w:sz w:val="32"/>
          <w:szCs w:val="32"/>
        </w:rPr>
      </w:pPr>
      <w:r>
        <w:rPr>
          <w:rFonts w:hint="eastAsia" w:ascii="仿宋_GB2312" w:hAnsi="TimesNewRomanPSMT" w:eastAsia="仿宋_GB2312" w:cs="宋体"/>
          <w:kern w:val="0"/>
          <w:sz w:val="32"/>
          <w:szCs w:val="32"/>
        </w:rPr>
        <w:t>个人风险是指因危险化学品重大危险源各种潜在的火灾、爆炸、有毒气体泄漏事故造成区域内某一固定位置人员的个体死亡概率，即单位时间内（通常为年）的个体死亡率。通常用个人风险等值线表示。</w:t>
      </w:r>
    </w:p>
    <w:p>
      <w:pPr>
        <w:ind w:firstLine="640" w:firstLineChars="200"/>
        <w:rPr>
          <w:rFonts w:ascii="仿宋_GB2312" w:hAnsi="TimesNewRomanPSMT" w:eastAsia="仿宋_GB2312" w:cs="宋体"/>
          <w:kern w:val="0"/>
          <w:sz w:val="32"/>
          <w:szCs w:val="32"/>
        </w:rPr>
      </w:pPr>
      <w:r>
        <w:rPr>
          <w:rFonts w:hint="eastAsia" w:ascii="仿宋_GB2312" w:hAnsi="TimesNewRomanPSMT" w:eastAsia="仿宋_GB2312" w:cs="宋体"/>
          <w:kern w:val="0"/>
          <w:sz w:val="32"/>
          <w:szCs w:val="32"/>
        </w:rPr>
        <w:t>通过定量风险评价，危险化学品单位周边重要目标和敏感场所承受的个人风险应满足表1中可容许风险标准要求。</w:t>
      </w:r>
    </w:p>
    <w:p>
      <w:pPr>
        <w:jc w:val="center"/>
        <w:rPr>
          <w:rFonts w:ascii="仿宋_GB2312" w:hAnsi="宋体" w:eastAsia="仿宋_GB2312" w:cs="Times New Roman"/>
          <w:sz w:val="30"/>
          <w:szCs w:val="30"/>
        </w:rPr>
      </w:pPr>
      <w:r>
        <w:rPr>
          <w:rFonts w:hint="eastAsia" w:ascii="仿宋_GB2312" w:hAnsi="宋体" w:eastAsia="仿宋_GB2312" w:cs="Times New Roman"/>
          <w:sz w:val="30"/>
          <w:szCs w:val="30"/>
        </w:rPr>
        <w:t>表1 可容许个人风险标准</w:t>
      </w:r>
    </w:p>
    <w:tbl>
      <w:tblPr>
        <w:tblStyle w:val="5"/>
        <w:tblW w:w="487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78"/>
        <w:gridCol w:w="16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061" w:type="pct"/>
            <w:tcBorders>
              <w:top w:val="single" w:color="auto" w:sz="12" w:space="0"/>
              <w:left w:val="nil"/>
              <w:bottom w:val="single" w:color="auto" w:sz="4" w:space="0"/>
              <w:right w:val="single" w:color="auto" w:sz="4" w:space="0"/>
            </w:tcBorders>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 xml:space="preserve"> 危险化学品单位周边重要目标和敏感场所类别</w:t>
            </w:r>
          </w:p>
        </w:tc>
        <w:tc>
          <w:tcPr>
            <w:tcW w:w="939" w:type="pct"/>
            <w:tcBorders>
              <w:top w:val="single" w:color="auto" w:sz="12" w:space="0"/>
              <w:left w:val="single" w:color="auto" w:sz="4" w:space="0"/>
              <w:bottom w:val="single" w:color="auto" w:sz="4" w:space="0"/>
              <w:right w:val="nil"/>
            </w:tcBorders>
            <w:vAlign w:val="center"/>
          </w:tcPr>
          <w:p>
            <w:pPr>
              <w:snapToGrid w:val="0"/>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可容许</w:t>
            </w:r>
          </w:p>
          <w:p>
            <w:pPr>
              <w:snapToGrid w:val="0"/>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风险</w:t>
            </w:r>
          </w:p>
          <w:p>
            <w:pPr>
              <w:snapToGrid w:val="0"/>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4061" w:type="pct"/>
            <w:tcBorders>
              <w:top w:val="single" w:color="auto" w:sz="4" w:space="0"/>
              <w:left w:val="nil"/>
              <w:bottom w:val="single" w:color="auto" w:sz="4" w:space="0"/>
              <w:right w:val="single" w:color="auto" w:sz="4" w:space="0"/>
            </w:tcBorders>
            <w:vAlign w:val="center"/>
          </w:tcPr>
          <w:p>
            <w:pPr>
              <w:snapToGrid w:val="0"/>
              <w:rPr>
                <w:rFonts w:ascii="仿宋_GB2312" w:hAnsi="宋体" w:eastAsia="仿宋_GB2312" w:cs="TimesNewRoman,Bold"/>
                <w:bCs/>
                <w:kern w:val="0"/>
                <w:sz w:val="30"/>
                <w:szCs w:val="30"/>
              </w:rPr>
            </w:pPr>
            <w:r>
              <w:rPr>
                <w:rFonts w:hint="eastAsia" w:ascii="仿宋_GB2312" w:hAnsi="宋体" w:eastAsia="仿宋_GB2312" w:cs="TimesNewRoman,Bold"/>
                <w:bCs/>
                <w:kern w:val="0"/>
                <w:sz w:val="30"/>
                <w:szCs w:val="30"/>
              </w:rPr>
              <w:t>1.高敏感场所（如学校、医院、幼儿园、养老院等）；</w:t>
            </w:r>
          </w:p>
          <w:p>
            <w:pPr>
              <w:snapToGrid w:val="0"/>
              <w:ind w:left="435" w:hanging="435" w:hangingChars="145"/>
              <w:rPr>
                <w:rFonts w:ascii="仿宋_GB2312" w:hAnsi="宋体" w:eastAsia="仿宋_GB2312" w:cs="TimesNewRoman,Bold"/>
                <w:bCs/>
                <w:kern w:val="0"/>
                <w:sz w:val="30"/>
                <w:szCs w:val="30"/>
              </w:rPr>
            </w:pPr>
            <w:r>
              <w:rPr>
                <w:rFonts w:hint="eastAsia" w:ascii="仿宋_GB2312" w:hAnsi="宋体" w:eastAsia="仿宋_GB2312" w:cs="TimesNewRoman,Bold"/>
                <w:bCs/>
                <w:kern w:val="0"/>
                <w:sz w:val="30"/>
                <w:szCs w:val="30"/>
              </w:rPr>
              <w:t>2.重要目标（如</w:t>
            </w:r>
            <w:r>
              <w:rPr>
                <w:rFonts w:hint="eastAsia" w:ascii="仿宋_GB2312" w:hAnsi="Times New Roman" w:eastAsia="仿宋_GB2312" w:cs="Times New Roman"/>
                <w:sz w:val="30"/>
                <w:szCs w:val="30"/>
              </w:rPr>
              <w:t>党政机关、军事管理区、文物保护单位等</w:t>
            </w:r>
            <w:r>
              <w:rPr>
                <w:rFonts w:hint="eastAsia" w:ascii="仿宋_GB2312" w:hAnsi="宋体" w:eastAsia="仿宋_GB2312" w:cs="TimesNewRoman,Bold"/>
                <w:bCs/>
                <w:kern w:val="0"/>
                <w:sz w:val="30"/>
                <w:szCs w:val="30"/>
              </w:rPr>
              <w:t>）；</w:t>
            </w:r>
          </w:p>
          <w:p>
            <w:pPr>
              <w:snapToGrid w:val="0"/>
              <w:ind w:left="435" w:hanging="435" w:hangingChars="145"/>
              <w:rPr>
                <w:rFonts w:ascii="仿宋_GB2312" w:hAnsi="Times New Roman" w:eastAsia="仿宋_GB2312" w:cs="Times New Roman"/>
                <w:sz w:val="30"/>
                <w:szCs w:val="30"/>
              </w:rPr>
            </w:pPr>
            <w:r>
              <w:rPr>
                <w:rFonts w:hint="eastAsia" w:ascii="仿宋_GB2312" w:hAnsi="宋体" w:eastAsia="仿宋_GB2312" w:cs="TimesNewRoman,Bold"/>
                <w:bCs/>
                <w:kern w:val="0"/>
                <w:sz w:val="30"/>
                <w:szCs w:val="30"/>
              </w:rPr>
              <w:t>3.特殊高密度场所（如大型体育场、大型交通枢纽等）。</w:t>
            </w:r>
          </w:p>
        </w:tc>
        <w:tc>
          <w:tcPr>
            <w:tcW w:w="939" w:type="pct"/>
            <w:tcBorders>
              <w:top w:val="single" w:color="auto" w:sz="4" w:space="0"/>
              <w:left w:val="single" w:color="auto" w:sz="4" w:space="0"/>
              <w:bottom w:val="single" w:color="auto" w:sz="4" w:space="0"/>
              <w:right w:val="nil"/>
            </w:tcBorders>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&lt;3</w:t>
            </w:r>
            <w:r>
              <w:rPr>
                <w:rFonts w:ascii="仿宋_GB2312" w:hAnsi="Times New Roman" w:eastAsia="仿宋_GB2312" w:cs="Times New Roman"/>
                <w:sz w:val="30"/>
                <w:szCs w:val="30"/>
              </w:rPr>
              <w:sym w:font="Symbol" w:char="F0B4"/>
            </w:r>
            <w:r>
              <w:rPr>
                <w:rFonts w:hint="eastAsia" w:ascii="仿宋_GB2312" w:hAnsi="Times New Roman" w:eastAsia="仿宋_GB2312" w:cs="Times New Roman"/>
                <w:sz w:val="30"/>
                <w:szCs w:val="30"/>
              </w:rPr>
              <w:t>10</w:t>
            </w:r>
            <w:r>
              <w:rPr>
                <w:rFonts w:hint="eastAsia" w:ascii="仿宋_GB2312" w:hAnsi="Times New Roman" w:eastAsia="仿宋_GB2312" w:cs="Times New Roman"/>
                <w:sz w:val="30"/>
                <w:szCs w:val="30"/>
                <w:vertAlign w:val="superscript"/>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4061" w:type="pct"/>
            <w:tcBorders>
              <w:top w:val="single" w:color="auto" w:sz="4" w:space="0"/>
              <w:left w:val="nil"/>
              <w:bottom w:val="single" w:color="auto" w:sz="12" w:space="0"/>
              <w:right w:val="single" w:color="auto" w:sz="4" w:space="0"/>
            </w:tcBorders>
            <w:vAlign w:val="center"/>
          </w:tcPr>
          <w:p>
            <w:pPr>
              <w:snapToGrid w:val="0"/>
              <w:rPr>
                <w:rFonts w:ascii="仿宋_GB2312" w:hAnsi="宋体" w:eastAsia="仿宋_GB2312" w:cs="TimesNewRoman,Bold"/>
                <w:bCs/>
                <w:kern w:val="0"/>
                <w:sz w:val="30"/>
                <w:szCs w:val="30"/>
              </w:rPr>
            </w:pPr>
            <w:r>
              <w:rPr>
                <w:rFonts w:hint="eastAsia" w:ascii="仿宋_GB2312" w:hAnsi="宋体" w:eastAsia="仿宋_GB2312" w:cs="TimesNewRoman,Bold"/>
                <w:bCs/>
                <w:kern w:val="0"/>
                <w:sz w:val="30"/>
                <w:szCs w:val="30"/>
              </w:rPr>
              <w:t>1.居住类高密度场所（如居民区、宾馆、度假村等）；</w:t>
            </w:r>
          </w:p>
          <w:p>
            <w:pPr>
              <w:snapToGrid w:val="0"/>
              <w:ind w:left="435" w:hanging="435" w:hangingChars="145"/>
              <w:rPr>
                <w:rFonts w:ascii="仿宋_GB2312" w:hAnsi="Times New Roman" w:eastAsia="仿宋_GB2312" w:cs="Times New Roman"/>
                <w:sz w:val="30"/>
                <w:szCs w:val="30"/>
              </w:rPr>
            </w:pPr>
            <w:r>
              <w:rPr>
                <w:rFonts w:hint="eastAsia" w:ascii="仿宋_GB2312" w:hAnsi="宋体" w:eastAsia="仿宋_GB2312" w:cs="TimesNewRoman,Bold"/>
                <w:bCs/>
                <w:kern w:val="0"/>
                <w:sz w:val="30"/>
                <w:szCs w:val="30"/>
              </w:rPr>
              <w:t>2.公众聚集类高密度场所（如办公场所、商场、饭店、娱乐场所等）。</w:t>
            </w:r>
          </w:p>
        </w:tc>
        <w:tc>
          <w:tcPr>
            <w:tcW w:w="939" w:type="pct"/>
            <w:tcBorders>
              <w:top w:val="single" w:color="auto" w:sz="4" w:space="0"/>
              <w:left w:val="single" w:color="auto" w:sz="4" w:space="0"/>
              <w:bottom w:val="single" w:color="auto" w:sz="12" w:space="0"/>
              <w:right w:val="nil"/>
            </w:tcBorders>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&lt;1</w:t>
            </w:r>
            <w:r>
              <w:rPr>
                <w:rFonts w:ascii="仿宋_GB2312" w:hAnsi="Times New Roman" w:eastAsia="仿宋_GB2312" w:cs="Times New Roman"/>
                <w:sz w:val="30"/>
                <w:szCs w:val="30"/>
              </w:rPr>
              <w:sym w:font="Symbol" w:char="F0B4"/>
            </w:r>
            <w:r>
              <w:rPr>
                <w:rFonts w:hint="eastAsia" w:ascii="仿宋_GB2312" w:hAnsi="Times New Roman" w:eastAsia="仿宋_GB2312" w:cs="Times New Roman"/>
                <w:sz w:val="30"/>
                <w:szCs w:val="30"/>
              </w:rPr>
              <w:t>10</w:t>
            </w:r>
            <w:r>
              <w:rPr>
                <w:rFonts w:hint="eastAsia" w:ascii="仿宋_GB2312" w:hAnsi="Times New Roman" w:eastAsia="仿宋_GB2312" w:cs="Times New Roman"/>
                <w:sz w:val="30"/>
                <w:szCs w:val="30"/>
                <w:vertAlign w:val="superscript"/>
              </w:rPr>
              <w:t>-6</w:t>
            </w:r>
          </w:p>
        </w:tc>
      </w:tr>
    </w:tbl>
    <w:p>
      <w:pPr>
        <w:ind w:firstLine="422" w:firstLineChars="200"/>
        <w:rPr>
          <w:rFonts w:ascii="仿宋_GB2312" w:hAnsi="宋体" w:eastAsia="仿宋_GB2312" w:cs="Times New Roman"/>
          <w:b/>
          <w:kern w:val="0"/>
          <w:szCs w:val="28"/>
        </w:rPr>
      </w:pPr>
    </w:p>
    <w:p>
      <w:pPr>
        <w:rPr>
          <w:rFonts w:ascii="黑体" w:hAnsi="Times New Roman" w:eastAsia="黑体" w:cs="Times New Roman"/>
          <w:sz w:val="32"/>
          <w:szCs w:val="32"/>
        </w:rPr>
      </w:pPr>
      <w:r>
        <w:rPr>
          <w:rFonts w:hint="eastAsia" w:ascii="黑体" w:hAnsi="Times New Roman" w:eastAsia="黑体" w:cs="Times New Roman"/>
          <w:sz w:val="32"/>
          <w:szCs w:val="32"/>
        </w:rPr>
        <w:t>二、可容许社会风险标准</w:t>
      </w:r>
    </w:p>
    <w:p>
      <w:pPr>
        <w:ind w:firstLine="640" w:firstLineChars="200"/>
        <w:rPr>
          <w:rFonts w:ascii="仿宋_GB2312" w:hAnsi="TimesNewRomanPSMT" w:eastAsia="仿宋_GB2312" w:cs="宋体"/>
          <w:kern w:val="0"/>
          <w:sz w:val="32"/>
          <w:szCs w:val="32"/>
        </w:rPr>
      </w:pPr>
      <w:r>
        <w:rPr>
          <w:rFonts w:hint="eastAsia" w:ascii="仿宋_GB2312" w:hAnsi="TimesNewRomanPSMT" w:eastAsia="仿宋_GB2312" w:cs="宋体"/>
          <w:kern w:val="0"/>
          <w:sz w:val="32"/>
          <w:szCs w:val="32"/>
        </w:rPr>
        <w:t>社会风险是指能够引起大于等于N人死亡的事故累积频率（F），也即单位时间内（通常为年）的死亡人数。通常用社会风险曲线（F-N曲线）表示。</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可容许社会风险标准采用ALARP（As Low As Reasonable Practice）原则作为可接受原则。ALARP原则通过两个风险分界线将风险划分为3个区域，即：不可容许区、尽可能降低区（ALARP）和可容许区。</w:t>
      </w:r>
    </w:p>
    <w:p>
      <w:pPr>
        <w:ind w:firstLine="640" w:firstLineChars="200"/>
        <w:rPr>
          <w:rFonts w:ascii="仿宋_GB2312" w:hAnsi="Times New Roman" w:eastAsia="仿宋_GB2312" w:cs="Times New Roman"/>
          <w:iCs/>
          <w:color w:val="FF0000"/>
          <w:sz w:val="32"/>
          <w:szCs w:val="32"/>
        </w:rPr>
      </w:pPr>
      <w:r>
        <w:rPr>
          <w:rFonts w:hint="eastAsia" w:ascii="仿宋_GB2312" w:hAnsi="Times New Roman" w:eastAsia="仿宋_GB2312" w:cs="Times New Roman"/>
          <w:iCs/>
          <w:sz w:val="32"/>
          <w:szCs w:val="32"/>
        </w:rPr>
        <w:t>①若社会风险曲线落在不可容许区，除特殊情况外，该风险无论如何不能被接受。</w:t>
      </w:r>
    </w:p>
    <w:p>
      <w:pPr>
        <w:ind w:firstLine="640" w:firstLineChars="200"/>
        <w:rPr>
          <w:rFonts w:ascii="仿宋_GB2312" w:hAnsi="Times New Roman" w:eastAsia="仿宋_GB2312" w:cs="Times New Roman"/>
          <w:iCs/>
          <w:sz w:val="32"/>
          <w:szCs w:val="32"/>
        </w:rPr>
      </w:pPr>
      <w:r>
        <w:rPr>
          <w:rFonts w:hint="eastAsia" w:ascii="仿宋_GB2312" w:hAnsi="Times New Roman" w:eastAsia="仿宋_GB2312" w:cs="Times New Roman"/>
          <w:iCs/>
          <w:sz w:val="32"/>
          <w:szCs w:val="32"/>
        </w:rPr>
        <w:t>②若落在可容许区，风险处于很低的水平，该风险是可以被接受的，无需采取安全改进措施。</w:t>
      </w:r>
    </w:p>
    <w:p>
      <w:pPr>
        <w:ind w:firstLine="640" w:firstLineChars="200"/>
        <w:rPr>
          <w:rFonts w:ascii="仿宋_GB2312" w:hAnsi="Times New Roman" w:eastAsia="仿宋_GB2312" w:cs="Times New Roman"/>
          <w:iCs/>
          <w:sz w:val="32"/>
          <w:szCs w:val="32"/>
        </w:rPr>
      </w:pPr>
      <w:r>
        <w:rPr>
          <w:rFonts w:hint="eastAsia" w:ascii="仿宋_GB2312" w:hAnsi="Times New Roman" w:eastAsia="仿宋_GB2312" w:cs="Times New Roman"/>
          <w:iCs/>
          <w:sz w:val="32"/>
          <w:szCs w:val="32"/>
        </w:rPr>
        <w:t>③若落在尽可能降低区，则需要在可能的情况下尽量减少风险，即对各种风险处理措施方案进行成本效益分析等，以决定是否采取这些措施。</w:t>
      </w:r>
    </w:p>
    <w:p>
      <w:pPr>
        <w:ind w:firstLine="640" w:firstLineChars="200"/>
        <w:rPr>
          <w:rFonts w:ascii="仿宋_GB2312" w:hAnsi="TimesNewRomanPSMT" w:eastAsia="仿宋_GB2312" w:cs="宋体"/>
          <w:kern w:val="0"/>
          <w:sz w:val="32"/>
          <w:szCs w:val="32"/>
        </w:rPr>
      </w:pPr>
      <w:r>
        <w:rPr>
          <w:rFonts w:hint="eastAsia" w:ascii="仿宋_GB2312" w:hAnsi="TimesNewRomanPSMT" w:eastAsia="仿宋_GB2312" w:cs="宋体"/>
          <w:kern w:val="0"/>
          <w:sz w:val="32"/>
          <w:szCs w:val="32"/>
        </w:rPr>
        <w:t>通过定量风险评价，危险化学品重大危险源产生的社会风险应满足图1中可容许社会风险标准要求。</w:t>
      </w:r>
    </w:p>
    <w:p>
      <w:pPr>
        <w:ind w:firstLine="539" w:firstLineChars="257"/>
        <w:rPr>
          <w:rFonts w:ascii="Times New Roman" w:hAnsi="Times New Roman" w:eastAsia="宋体" w:cs="Times New Roman"/>
          <w:szCs w:val="20"/>
        </w:rPr>
      </w:pPr>
    </w:p>
    <w:p>
      <w:pPr>
        <w:jc w:val="center"/>
        <w:rPr>
          <w:rFonts w:ascii="Times New Roman" w:hAnsi="Times New Roman" w:eastAsia="宋体" w:cs="Times New Roman"/>
          <w:szCs w:val="20"/>
        </w:rPr>
      </w:pPr>
      <w:r>
        <w:rPr>
          <w:rFonts w:ascii="Times New Roman" w:hAnsi="Times New Roman" w:eastAsia="宋体" w:cs="Times New Roman"/>
          <w:szCs w:val="20"/>
        </w:rPr>
        <mc:AlternateContent>
          <mc:Choice Requires="wpg">
            <w:drawing>
              <wp:anchor distT="0" distB="0" distL="114300" distR="114300" simplePos="0" relativeHeight="251659264" behindDoc="0" locked="0" layoutInCell="1" allowOverlap="1">
                <wp:simplePos x="0" y="0"/>
                <wp:positionH relativeFrom="column">
                  <wp:posOffset>104775</wp:posOffset>
                </wp:positionH>
                <wp:positionV relativeFrom="paragraph">
                  <wp:posOffset>360045</wp:posOffset>
                </wp:positionV>
                <wp:extent cx="4038600" cy="3063240"/>
                <wp:effectExtent l="0" t="0" r="0" b="0"/>
                <wp:wrapNone/>
                <wp:docPr id="36" name="Group 37"/>
                <wp:cNvGraphicFramePr/>
                <a:graphic xmlns:a="http://schemas.openxmlformats.org/drawingml/2006/main">
                  <a:graphicData uri="http://schemas.microsoft.com/office/word/2010/wordprocessingGroup">
                    <wpg:wgp>
                      <wpg:cNvGrpSpPr/>
                      <wpg:grpSpPr>
                        <a:xfrm>
                          <a:off x="0" y="0"/>
                          <a:ext cx="4038600" cy="3063240"/>
                          <a:chOff x="1753" y="2580"/>
                          <a:chExt cx="6360" cy="4824"/>
                        </a:xfrm>
                      </wpg:grpSpPr>
                      <wps:wsp>
                        <wps:cNvPr id="37" name="Text Box 38"/>
                        <wps:cNvSpPr txBox="1">
                          <a:spLocks noChangeArrowheads="1"/>
                        </wps:cNvSpPr>
                        <wps:spPr bwMode="auto">
                          <a:xfrm>
                            <a:off x="1753" y="2580"/>
                            <a:ext cx="840" cy="3279"/>
                          </a:xfrm>
                          <a:prstGeom prst="rect">
                            <a:avLst/>
                          </a:prstGeom>
                          <a:solidFill>
                            <a:srgbClr val="FFFFFF"/>
                          </a:solidFill>
                          <a:ln>
                            <a:noFill/>
                          </a:ln>
                        </wps:spPr>
                        <wps:txbx>
                          <w:txbxContent>
                            <w:p>
                              <w:pPr>
                                <w:rPr>
                                  <w:rFonts w:ascii="仿宋_GB2312" w:eastAsia="仿宋_GB2312"/>
                                  <w:sz w:val="30"/>
                                  <w:szCs w:val="30"/>
                                </w:rPr>
                              </w:pPr>
                              <w:r>
                                <w:rPr>
                                  <w:rFonts w:hint="eastAsia" w:ascii="仿宋_GB2312" w:eastAsia="仿宋_GB2312"/>
                                  <w:sz w:val="30"/>
                                  <w:szCs w:val="30"/>
                                </w:rPr>
                                <w:t>累积频率F/（次/年）</w:t>
                              </w:r>
                            </w:p>
                            <w:p>
                              <w:pPr>
                                <w:rPr>
                                  <w:rFonts w:ascii="仿宋_GB2312" w:eastAsia="仿宋_GB2312"/>
                                  <w:sz w:val="30"/>
                                  <w:szCs w:val="30"/>
                                </w:rPr>
                              </w:pPr>
                            </w:p>
                          </w:txbxContent>
                        </wps:txbx>
                        <wps:bodyPr rot="0" vert="vert270" wrap="square" lIns="91440" tIns="45720" rIns="91440" bIns="45720" anchor="t" anchorCtr="0" upright="1">
                          <a:noAutofit/>
                        </wps:bodyPr>
                      </wps:wsp>
                      <wps:wsp>
                        <wps:cNvPr id="38" name="Text Box 39"/>
                        <wps:cNvSpPr txBox="1">
                          <a:spLocks noChangeArrowheads="1"/>
                        </wps:cNvSpPr>
                        <wps:spPr bwMode="auto">
                          <a:xfrm>
                            <a:off x="4858" y="6624"/>
                            <a:ext cx="3255" cy="780"/>
                          </a:xfrm>
                          <a:prstGeom prst="rect">
                            <a:avLst/>
                          </a:prstGeom>
                          <a:solidFill>
                            <a:srgbClr val="FFFFFF"/>
                          </a:solidFill>
                          <a:ln>
                            <a:noFill/>
                          </a:ln>
                        </wps:spPr>
                        <wps:txbx>
                          <w:txbxContent>
                            <w:p>
                              <w:pPr>
                                <w:rPr>
                                  <w:rFonts w:ascii="仿宋_GB2312" w:eastAsia="仿宋_GB2312"/>
                                  <w:sz w:val="30"/>
                                  <w:szCs w:val="30"/>
                                </w:rPr>
                              </w:pPr>
                              <w:r>
                                <w:rPr>
                                  <w:rFonts w:hint="eastAsia" w:ascii="仿宋_GB2312" w:eastAsia="仿宋_GB2312"/>
                                  <w:sz w:val="30"/>
                                  <w:szCs w:val="30"/>
                                </w:rPr>
                                <w:t>死亡人数  N/（个）</w:t>
                              </w:r>
                            </w:p>
                            <w:p>
                              <w:pPr>
                                <w:rPr>
                                  <w:rFonts w:ascii="仿宋_GB2312" w:eastAsia="仿宋_GB2312"/>
                                  <w:sz w:val="30"/>
                                  <w:szCs w:val="30"/>
                                </w:rPr>
                              </w:pPr>
                            </w:p>
                          </w:txbxContent>
                        </wps:txbx>
                        <wps:bodyPr rot="0" vert="horz" wrap="square" lIns="91440" tIns="45720" rIns="91440" bIns="45720" anchor="t" anchorCtr="0" upright="1">
                          <a:noAutofit/>
                        </wps:bodyPr>
                      </wps:wsp>
                      <wpg:grpSp>
                        <wpg:cNvPr id="39" name="Group 40"/>
                        <wpg:cNvGrpSpPr/>
                        <wpg:grpSpPr>
                          <a:xfrm>
                            <a:off x="3878" y="2637"/>
                            <a:ext cx="1385" cy="2964"/>
                            <a:chOff x="3927" y="9374"/>
                            <a:chExt cx="1093" cy="2964"/>
                          </a:xfrm>
                        </wpg:grpSpPr>
                        <wps:wsp>
                          <wps:cNvPr id="40" name="Text Box 41"/>
                          <wps:cNvSpPr txBox="1">
                            <a:spLocks noChangeArrowheads="1"/>
                          </wps:cNvSpPr>
                          <wps:spPr bwMode="auto">
                            <a:xfrm>
                              <a:off x="3940" y="12026"/>
                              <a:ext cx="1080" cy="312"/>
                            </a:xfrm>
                            <a:prstGeom prst="rect">
                              <a:avLst/>
                            </a:prstGeom>
                            <a:solidFill>
                              <a:srgbClr val="FFFFFF"/>
                            </a:solidFill>
                            <a:ln>
                              <a:noFill/>
                            </a:ln>
                          </wps:spPr>
                          <wps:txbx>
                            <w:txbxContent>
                              <w:p>
                                <w:pPr>
                                  <w:jc w:val="center"/>
                                  <w:rPr>
                                    <w:szCs w:val="21"/>
                                  </w:rPr>
                                </w:pPr>
                                <w:r>
                                  <w:rPr>
                                    <w:rFonts w:hint="eastAsia"/>
                                    <w:szCs w:val="21"/>
                                  </w:rPr>
                                  <w:t>可容许区</w:t>
                                </w:r>
                              </w:p>
                              <w:p>
                                <w:pPr>
                                  <w:rPr>
                                    <w:szCs w:val="21"/>
                                  </w:rPr>
                                </w:pPr>
                              </w:p>
                            </w:txbxContent>
                          </wps:txbx>
                          <wps:bodyPr rot="0" vert="horz" wrap="square" lIns="0" tIns="0" rIns="0" bIns="0" anchor="t" anchorCtr="0" upright="1">
                            <a:noAutofit/>
                          </wps:bodyPr>
                        </wps:wsp>
                        <wps:wsp>
                          <wps:cNvPr id="41" name="Text Box 42"/>
                          <wps:cNvSpPr txBox="1">
                            <a:spLocks noChangeArrowheads="1"/>
                          </wps:cNvSpPr>
                          <wps:spPr bwMode="auto">
                            <a:xfrm>
                              <a:off x="3938" y="10622"/>
                              <a:ext cx="1080" cy="312"/>
                            </a:xfrm>
                            <a:prstGeom prst="rect">
                              <a:avLst/>
                            </a:prstGeom>
                            <a:solidFill>
                              <a:srgbClr val="FFFFFF"/>
                            </a:solidFill>
                            <a:ln>
                              <a:noFill/>
                            </a:ln>
                          </wps:spPr>
                          <wps:txbx>
                            <w:txbxContent>
                              <w:p>
                                <w:pPr>
                                  <w:jc w:val="center"/>
                                  <w:rPr>
                                    <w:szCs w:val="21"/>
                                  </w:rPr>
                                </w:pPr>
                                <w:r>
                                  <w:rPr>
                                    <w:rFonts w:hint="eastAsia"/>
                                    <w:szCs w:val="21"/>
                                  </w:rPr>
                                  <w:t>尽可能降低区</w:t>
                                </w:r>
                              </w:p>
                              <w:p>
                                <w:pPr>
                                  <w:rPr>
                                    <w:szCs w:val="21"/>
                                  </w:rPr>
                                </w:pPr>
                              </w:p>
                            </w:txbxContent>
                          </wps:txbx>
                          <wps:bodyPr rot="0" vert="horz" wrap="square" lIns="0" tIns="0" rIns="0" bIns="0" anchor="t" anchorCtr="0" upright="1">
                            <a:noAutofit/>
                          </wps:bodyPr>
                        </wps:wsp>
                        <wps:wsp>
                          <wps:cNvPr id="42" name="Text Box 43"/>
                          <wps:cNvSpPr txBox="1">
                            <a:spLocks noChangeArrowheads="1"/>
                          </wps:cNvSpPr>
                          <wps:spPr bwMode="auto">
                            <a:xfrm>
                              <a:off x="3927" y="9374"/>
                              <a:ext cx="1080" cy="312"/>
                            </a:xfrm>
                            <a:prstGeom prst="rect">
                              <a:avLst/>
                            </a:prstGeom>
                            <a:solidFill>
                              <a:srgbClr val="FFFFFF"/>
                            </a:solidFill>
                            <a:ln>
                              <a:noFill/>
                            </a:ln>
                          </wps:spPr>
                          <wps:txbx>
                            <w:txbxContent>
                              <w:p>
                                <w:pPr>
                                  <w:jc w:val="center"/>
                                  <w:rPr>
                                    <w:szCs w:val="21"/>
                                  </w:rPr>
                                </w:pPr>
                                <w:r>
                                  <w:rPr>
                                    <w:rFonts w:hint="eastAsia"/>
                                    <w:szCs w:val="21"/>
                                  </w:rPr>
                                  <w:t>不可容许区</w:t>
                                </w:r>
                              </w:p>
                              <w:p>
                                <w:pPr>
                                  <w:rPr>
                                    <w:szCs w:val="21"/>
                                  </w:rPr>
                                </w:pPr>
                              </w:p>
                            </w:txbxContent>
                          </wps:txbx>
                          <wps:bodyPr rot="0" vert="horz" wrap="square" lIns="0" tIns="0" rIns="0" bIns="0" anchor="t" anchorCtr="0" upright="1">
                            <a:noAutofit/>
                          </wps:bodyPr>
                        </wps:wsp>
                      </wpg:grpSp>
                    </wpg:wgp>
                  </a:graphicData>
                </a:graphic>
              </wp:anchor>
            </w:drawing>
          </mc:Choice>
          <mc:Fallback>
            <w:pict>
              <v:group id="Group 37" o:spid="_x0000_s1026" o:spt="203" style="position:absolute;left:0pt;margin-left:8.25pt;margin-top:28.35pt;height:241.2pt;width:318pt;z-index:251659264;mso-width-relative:page;mso-height-relative:page;" coordorigin="1753,2580" coordsize="6360,4824" o:gfxdata="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">
                <o:lock v:ext="edit" aspectratio="f"/>
                <v:shape id="Text Box 38" o:spid="_x0000_s1026" o:spt="202" type="#_x0000_t202" style="position:absolute;left:1753;top:2580;height:3279;width:840;" fillcolor="#FFFFFF" filled="t" stroked="f" coordsize="21600,21600" o:gfxdata="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JpNS8AAAA&#10;2wAAAA8AAAAAAAAAAQAgAAAAIgAAAGRycy9kb3ducmV2LnhtbFBLAQIUABQAAAAIAIdO4kAzLwWe&#10;OwAAADkAAAAQAAAAAAAAAAEAIAAAAAsBAABkcnMvc2hhcGV4bWwueG1sUEsFBgAAAAAGAAYAWwEA&#10;ALUDAAAAAA==&#10;">
                  <v:fill on="t" focussize="0,0"/>
                  <v:stroke on="f"/>
                  <v:imagedata o:title=""/>
                  <o:lock v:ext="edit" aspectratio="f"/>
                  <v:textbox style="layout-flow:vertical;mso-layout-flow-alt:bottom-to-top;">
                    <w:txbxContent>
                      <w:p>
                        <w:pPr>
                          <w:rPr>
                            <w:rFonts w:ascii="仿宋_GB2312" w:eastAsia="仿宋_GB2312"/>
                            <w:sz w:val="30"/>
                            <w:szCs w:val="30"/>
                          </w:rPr>
                        </w:pPr>
                        <w:r>
                          <w:rPr>
                            <w:rFonts w:hint="eastAsia" w:ascii="仿宋_GB2312" w:eastAsia="仿宋_GB2312"/>
                            <w:sz w:val="30"/>
                            <w:szCs w:val="30"/>
                          </w:rPr>
                          <w:t>累积频率F/（次/年）</w:t>
                        </w:r>
                      </w:p>
                      <w:p>
                        <w:pPr>
                          <w:rPr>
                            <w:rFonts w:ascii="仿宋_GB2312" w:eastAsia="仿宋_GB2312"/>
                            <w:sz w:val="30"/>
                            <w:szCs w:val="30"/>
                          </w:rPr>
                        </w:pPr>
                      </w:p>
                    </w:txbxContent>
                  </v:textbox>
                </v:shape>
                <v:shape id="Text Box 39" o:spid="_x0000_s1026" o:spt="202" type="#_x0000_t202" style="position:absolute;left:4858;top:6624;height:780;width:3255;" fillcolor="#FFFFFF" filled="t" stroked="f" coordsize="21600,21600" o:gfxdata="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5H4FLUAAADbAAAADwAA&#10;AAAAAAABACAAAAAiAAAAZHJzL2Rvd25yZXYueG1sUEsBAhQAFAAAAAgAh07iQDMvBZ47AAAAOQAA&#10;ABAAAAAAAAAAAQAgAAAABAEAAGRycy9zaGFwZXhtbC54bWxQSwUGAAAAAAYABgBbAQAArgMAAAAA&#10;">
                  <v:fill on="t" focussize="0,0"/>
                  <v:stroke on="f"/>
                  <v:imagedata o:title=""/>
                  <o:lock v:ext="edit" aspectratio="f"/>
                  <v:textbox>
                    <w:txbxContent>
                      <w:p>
                        <w:pPr>
                          <w:rPr>
                            <w:rFonts w:ascii="仿宋_GB2312" w:eastAsia="仿宋_GB2312"/>
                            <w:sz w:val="30"/>
                            <w:szCs w:val="30"/>
                          </w:rPr>
                        </w:pPr>
                        <w:r>
                          <w:rPr>
                            <w:rFonts w:hint="eastAsia" w:ascii="仿宋_GB2312" w:eastAsia="仿宋_GB2312"/>
                            <w:sz w:val="30"/>
                            <w:szCs w:val="30"/>
                          </w:rPr>
                          <w:t>死亡人数  N/（个）</w:t>
                        </w:r>
                      </w:p>
                      <w:p>
                        <w:pPr>
                          <w:rPr>
                            <w:rFonts w:ascii="仿宋_GB2312" w:eastAsia="仿宋_GB2312"/>
                            <w:sz w:val="30"/>
                            <w:szCs w:val="30"/>
                          </w:rPr>
                        </w:pPr>
                      </w:p>
                    </w:txbxContent>
                  </v:textbox>
                </v:shape>
                <v:group id="Group 40" o:spid="_x0000_s1026" o:spt="203" style="position:absolute;left:3878;top:2637;height:2964;width:1385;" coordorigin="3927,9374" coordsize="1093,2964"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shape id="Text Box 41" o:spid="_x0000_s1026" o:spt="202" type="#_x0000_t202" style="position:absolute;left:3940;top:12026;height:312;width:1080;" fillcolor="#FFFFFF" filled="t" stroked="f" coordsize="21600,21600" o:gfxdata="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VoqhMtwAAANsAAAAP&#10;AAAAAAAAAAEAIAAAACIAAABkcnMvZG93bnJldi54bWxQSwECFAAUAAAACACHTuJAMy8FnjsAAAA5&#10;AAAAEAAAAAAAAAABACAAAAAGAQAAZHJzL3NoYXBleG1sLnhtbFBLBQYAAAAABgAGAFsBAACwAwAA&#10;AAA=&#10;">
                    <v:fill on="t" focussize="0,0"/>
                    <v:stroke on="f"/>
                    <v:imagedata o:title=""/>
                    <o:lock v:ext="edit" aspectratio="f"/>
                    <v:textbox inset="0mm,0mm,0mm,0mm">
                      <w:txbxContent>
                        <w:p>
                          <w:pPr>
                            <w:jc w:val="center"/>
                            <w:rPr>
                              <w:szCs w:val="21"/>
                            </w:rPr>
                          </w:pPr>
                          <w:r>
                            <w:rPr>
                              <w:rFonts w:hint="eastAsia"/>
                              <w:szCs w:val="21"/>
                            </w:rPr>
                            <w:t>可容许区</w:t>
                          </w:r>
                        </w:p>
                        <w:p>
                          <w:pPr>
                            <w:rPr>
                              <w:szCs w:val="21"/>
                            </w:rPr>
                          </w:pPr>
                        </w:p>
                      </w:txbxContent>
                    </v:textbox>
                  </v:shape>
                  <v:shape id="Text Box 42" o:spid="_x0000_s1026" o:spt="202" type="#_x0000_t202" style="position:absolute;left:3938;top:10622;height:312;width:1080;" fillcolor="#FFFFFF" filled="t" stroked="f" coordsize="21600,21600" o:gfxdata="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7g3XvQAA&#10;ANsAAAAPAAAAAAAAAAEAIAAAACIAAABkcnMvZG93bnJldi54bWxQSwECFAAUAAAACACHTuJAMy8F&#10;njsAAAA5AAAAEAAAAAAAAAABACAAAAAMAQAAZHJzL3NoYXBleG1sLnhtbFBLBQYAAAAABgAGAFsB&#10;AAC2AwAAAAA=&#10;">
                    <v:fill on="t" focussize="0,0"/>
                    <v:stroke on="f"/>
                    <v:imagedata o:title=""/>
                    <o:lock v:ext="edit" aspectratio="f"/>
                    <v:textbox inset="0mm,0mm,0mm,0mm">
                      <w:txbxContent>
                        <w:p>
                          <w:pPr>
                            <w:jc w:val="center"/>
                            <w:rPr>
                              <w:szCs w:val="21"/>
                            </w:rPr>
                          </w:pPr>
                          <w:r>
                            <w:rPr>
                              <w:rFonts w:hint="eastAsia"/>
                              <w:szCs w:val="21"/>
                            </w:rPr>
                            <w:t>尽可能降低区</w:t>
                          </w:r>
                        </w:p>
                        <w:p>
                          <w:pPr>
                            <w:rPr>
                              <w:szCs w:val="21"/>
                            </w:rPr>
                          </w:pPr>
                        </w:p>
                      </w:txbxContent>
                    </v:textbox>
                  </v:shape>
                  <v:shape id="Text Box 43" o:spid="_x0000_s1026" o:spt="202" type="#_x0000_t202" style="position:absolute;left:3927;top:9374;height:312;width:1080;" fillcolor="#FFFFFF" filled="t" stroked="f" coordsize="21600,21600" o:gfxdata="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PJOgvQAA&#10;ANsAAAAPAAAAAAAAAAEAIAAAACIAAABkcnMvZG93bnJldi54bWxQSwECFAAUAAAACACHTuJAMy8F&#10;njsAAAA5AAAAEAAAAAAAAAABACAAAAAMAQAAZHJzL3NoYXBleG1sLnhtbFBLBQYAAAAABgAGAFsB&#10;AAC2AwAAAAA=&#10;">
                    <v:fill on="t" focussize="0,0"/>
                    <v:stroke on="f"/>
                    <v:imagedata o:title=""/>
                    <o:lock v:ext="edit" aspectratio="f"/>
                    <v:textbox inset="0mm,0mm,0mm,0mm">
                      <w:txbxContent>
                        <w:p>
                          <w:pPr>
                            <w:jc w:val="center"/>
                            <w:rPr>
                              <w:szCs w:val="21"/>
                            </w:rPr>
                          </w:pPr>
                          <w:r>
                            <w:rPr>
                              <w:rFonts w:hint="eastAsia"/>
                              <w:szCs w:val="21"/>
                            </w:rPr>
                            <w:t>不可容许区</w:t>
                          </w:r>
                        </w:p>
                        <w:p>
                          <w:pPr>
                            <w:rPr>
                              <w:szCs w:val="21"/>
                            </w:rPr>
                          </w:pPr>
                        </w:p>
                      </w:txbxContent>
                    </v:textbox>
                  </v:shape>
                </v:group>
              </v:group>
            </w:pict>
          </mc:Fallback>
        </mc:AlternateContent>
      </w:r>
      <w:r>
        <w:rPr>
          <w:rFonts w:ascii="Times New Roman" w:hAnsi="Times New Roman" w:eastAsia="宋体" w:cs="Times New Roman"/>
          <w:szCs w:val="20"/>
        </w:rPr>
        <w:object>
          <v:shape id="_x0000_i1026" o:spt="75" type="#_x0000_t75" style="height:225.5pt;width:342pt;" o:ole="t" filled="f" o:preferrelative="t" stroked="f" coordsize="21600,21600">
            <v:path/>
            <v:fill on="f" focussize="0,0"/>
            <v:stroke on="f" joinstyle="miter"/>
            <v:imagedata r:id="rId9" cropleft="3115f" croptop="7082f" cropright="3244f" cropbottom="5423f" o:title=""/>
            <o:lock v:ext="edit" aspectratio="t"/>
            <w10:wrap type="none"/>
            <w10:anchorlock/>
          </v:shape>
          <o:OLEObject Type="Embed" ProgID="Origin50.Graph" ShapeID="_x0000_i1026" DrawAspect="Content" ObjectID="_1468075726" r:id="rId8">
            <o:LockedField>false</o:LockedField>
          </o:OLEObject>
        </w:object>
      </w:r>
    </w:p>
    <w:p>
      <w:pPr>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w:t>
      </w:r>
    </w:p>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 xml:space="preserve"> 图1 可容许社会风险标准（</w:t>
      </w:r>
      <w:r>
        <w:rPr>
          <w:rFonts w:hint="eastAsia" w:ascii="仿宋_GB2312" w:hAnsi="Times New Roman" w:eastAsia="仿宋_GB2312" w:cs="Times New Roman"/>
          <w:i/>
          <w:sz w:val="30"/>
          <w:szCs w:val="30"/>
        </w:rPr>
        <w:t>F</w:t>
      </w:r>
      <w:r>
        <w:rPr>
          <w:rFonts w:hint="eastAsia" w:ascii="仿宋_GB2312" w:hAnsi="Times New Roman" w:eastAsia="仿宋_GB2312" w:cs="Times New Roman"/>
          <w:sz w:val="30"/>
          <w:szCs w:val="30"/>
        </w:rPr>
        <w:t>-</w:t>
      </w:r>
      <w:r>
        <w:rPr>
          <w:rFonts w:hint="eastAsia" w:ascii="仿宋_GB2312" w:hAnsi="Times New Roman" w:eastAsia="仿宋_GB2312" w:cs="Times New Roman"/>
          <w:i/>
          <w:sz w:val="30"/>
          <w:szCs w:val="30"/>
        </w:rPr>
        <w:t>N</w:t>
      </w:r>
      <w:r>
        <w:rPr>
          <w:rFonts w:hint="eastAsia" w:ascii="仿宋_GB2312" w:hAnsi="Times New Roman" w:eastAsia="仿宋_GB2312" w:cs="Times New Roman"/>
          <w:sz w:val="30"/>
          <w:szCs w:val="30"/>
        </w:rPr>
        <w:t>）曲线</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auto"/>
    <w:pitch w:val="default"/>
    <w:sig w:usb0="00000000" w:usb1="00000000" w:usb2="00000000" w:usb3="00000000" w:csb0="00000001" w:csb1="00000000"/>
  </w:font>
  <w:font w:name="TimesNewRoman,Bold">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国家安全生产监督管理总局发布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国家安全生产监督管理总局规章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5C03"/>
    <w:rsid w:val="0013319D"/>
    <w:rsid w:val="00172A27"/>
    <w:rsid w:val="00181CC7"/>
    <w:rsid w:val="002447BD"/>
    <w:rsid w:val="00367F94"/>
    <w:rsid w:val="00375E5C"/>
    <w:rsid w:val="00385ED7"/>
    <w:rsid w:val="003B0C57"/>
    <w:rsid w:val="004A59D7"/>
    <w:rsid w:val="0053253A"/>
    <w:rsid w:val="005F0A96"/>
    <w:rsid w:val="008B5498"/>
    <w:rsid w:val="009B279D"/>
    <w:rsid w:val="009E5D30"/>
    <w:rsid w:val="00C12C68"/>
    <w:rsid w:val="00D82D3A"/>
    <w:rsid w:val="00EC1D6C"/>
    <w:rsid w:val="00FF24F0"/>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AEB0553"/>
    <w:rsid w:val="6D0E3F22"/>
    <w:rsid w:val="71F874C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annotation reference"/>
    <w:basedOn w:val="6"/>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B9FFB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1222</Words>
  <Characters>6970</Characters>
  <Lines>58</Lines>
  <Paragraphs>16</Paragraphs>
  <TotalTime>107</TotalTime>
  <ScaleCrop>false</ScaleCrop>
  <LinksUpToDate>false</LinksUpToDate>
  <CharactersWithSpaces>8176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李延璟(拟稿)</cp:lastModifiedBy>
  <cp:lastPrinted>2021-10-26T03:30:00Z</cp:lastPrinted>
  <dcterms:modified xsi:type="dcterms:W3CDTF">2021-12-23T08:32:10Z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48C61CB29D3F4D9384F5922CF0F7FFB4</vt:lpwstr>
  </property>
</Properties>
</file>