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hint="eastAsia" w:ascii="黑体" w:hAnsi="黑体" w:eastAsia="黑体"/>
          <w:b/>
          <w:bCs/>
          <w:sz w:val="28"/>
          <w:szCs w:val="36"/>
          <w:highlight w:val="none"/>
          <w:lang w:val="en-US" w:eastAsia="zh-CN"/>
        </w:rPr>
      </w:pPr>
      <w:r>
        <w:rPr>
          <w:rFonts w:hint="eastAsia" w:ascii="黑体" w:hAnsi="黑体" w:eastAsia="黑体"/>
          <w:b/>
          <w:bCs/>
          <w:sz w:val="28"/>
          <w:szCs w:val="36"/>
          <w:highlight w:val="none"/>
          <w:lang w:val="en-US" w:eastAsia="zh-CN"/>
        </w:rPr>
        <w:t>《消防中断管理规范》《电气安全管理规范》稽查问题记录表</w:t>
      </w:r>
    </w:p>
    <w:tbl>
      <w:tblPr>
        <w:tblStyle w:val="5"/>
        <w:tblW w:w="14500" w:type="dxa"/>
        <w:jc w:val="center"/>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3623"/>
        <w:gridCol w:w="3477"/>
        <w:gridCol w:w="211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blHeader/>
          <w:jc w:val="center"/>
        </w:trPr>
        <w:tc>
          <w:tcPr>
            <w:tcW w:w="2730" w:type="dxa"/>
            <w:vMerge w:val="restart"/>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80" w:beforeAutospacing="0" w:after="80" w:afterAutospacing="0" w:line="240" w:lineRule="auto"/>
              <w:ind w:left="0" w:leftChars="0" w:right="0" w:rightChars="0" w:firstLine="0" w:firstLineChars="0"/>
              <w:jc w:val="both"/>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 xml:space="preserve">                   部门</w:t>
            </w:r>
          </w:p>
          <w:p>
            <w:pPr>
              <w:keepNext w:val="0"/>
              <w:keepLines w:val="0"/>
              <w:pageBreakBefore w:val="0"/>
              <w:widowControl w:val="0"/>
              <w:kinsoku/>
              <w:wordWrap/>
              <w:overflowPunct/>
              <w:topLinePunct w:val="0"/>
              <w:autoSpaceDE/>
              <w:autoSpaceDN/>
              <w:bidi w:val="0"/>
              <w:adjustRightInd/>
              <w:snapToGrid/>
              <w:spacing w:before="80" w:beforeAutospacing="0" w:after="80" w:afterAutospacing="0" w:line="240" w:lineRule="auto"/>
              <w:ind w:left="0" w:leftChars="0" w:right="0" w:rightChars="0" w:firstLine="0" w:firstLineChars="0"/>
              <w:jc w:val="both"/>
              <w:textAlignment w:val="auto"/>
              <w:outlineLvl w:val="9"/>
              <w:rPr>
                <w:rFonts w:hint="eastAsia" w:ascii="新宋体" w:hAnsi="新宋体" w:eastAsia="新宋体" w:cs="新宋体"/>
                <w:highlight w:val="none"/>
                <w:vertAlign w:val="baseline"/>
                <w:lang w:val="en-US" w:eastAsia="zh-CN"/>
              </w:rPr>
            </w:pPr>
            <w:r>
              <w:rPr>
                <w:rFonts w:hint="eastAsia" w:ascii="新宋体" w:hAnsi="新宋体" w:eastAsia="新宋体" w:cs="新宋体"/>
                <w:b/>
                <w:bCs/>
                <w:sz w:val="21"/>
                <w:szCs w:val="24"/>
                <w:highlight w:val="none"/>
                <w:vertAlign w:val="baseline"/>
                <w:lang w:val="en-US" w:eastAsia="zh-CN"/>
              </w:rPr>
              <w:t>稽查内容</w:t>
            </w:r>
            <w:r>
              <w:rPr>
                <w:rFonts w:hint="eastAsia" w:ascii="新宋体" w:hAnsi="新宋体" w:eastAsia="新宋体" w:cs="新宋体"/>
                <w:b/>
                <w:bCs/>
                <w:highlight w:val="none"/>
                <w:vertAlign w:val="baseline"/>
                <w:lang w:val="en-US" w:eastAsia="zh-CN"/>
              </w:rPr>
              <w:t xml:space="preserve"> </w:t>
            </w:r>
          </w:p>
        </w:tc>
        <w:tc>
          <w:tcPr>
            <w:tcW w:w="7100" w:type="dxa"/>
            <w:gridSpan w:val="2"/>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center"/>
              <w:textAlignment w:val="auto"/>
              <w:outlineLvl w:val="9"/>
              <w:rPr>
                <w:rFonts w:hint="eastAsia" w:ascii="黑体" w:hAnsi="黑体" w:eastAsia="黑体"/>
                <w:b/>
                <w:bCs/>
                <w:highlight w:val="none"/>
                <w:vertAlign w:val="baseline"/>
                <w:lang w:val="en-US" w:eastAsia="zh-CN"/>
              </w:rPr>
            </w:pPr>
            <w:r>
              <w:rPr>
                <w:rFonts w:hint="eastAsia" w:ascii="黑体" w:hAnsi="黑体" w:eastAsia="黑体"/>
                <w:b/>
                <w:bCs/>
                <w:highlight w:val="none"/>
                <w:vertAlign w:val="baseline"/>
                <w:lang w:val="en-US" w:eastAsia="zh-CN"/>
              </w:rPr>
              <w:t>工程部</w:t>
            </w:r>
          </w:p>
        </w:tc>
        <w:tc>
          <w:tcPr>
            <w:tcW w:w="4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center"/>
              <w:textAlignment w:val="auto"/>
              <w:outlineLvl w:val="9"/>
              <w:rPr>
                <w:rFonts w:hint="eastAsia" w:ascii="黑体" w:hAnsi="黑体" w:eastAsia="黑体"/>
                <w:b/>
                <w:bCs/>
                <w:highlight w:val="none"/>
                <w:vertAlign w:val="baseline"/>
                <w:lang w:val="en-US" w:eastAsia="zh-CN"/>
              </w:rPr>
            </w:pPr>
            <w:r>
              <w:rPr>
                <w:rFonts w:hint="eastAsia" w:ascii="黑体" w:hAnsi="黑体" w:eastAsia="黑体"/>
                <w:b/>
                <w:bCs/>
                <w:highlight w:val="none"/>
                <w:vertAlign w:val="baseline"/>
                <w:lang w:val="en-US" w:eastAsia="zh-CN"/>
              </w:rPr>
              <w:t>秩序部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exact"/>
          <w:tblHeader/>
          <w:jc w:val="center"/>
        </w:trPr>
        <w:tc>
          <w:tcPr>
            <w:tcW w:w="2730"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both"/>
              <w:textAlignment w:val="auto"/>
              <w:outlineLvl w:val="9"/>
              <w:rPr>
                <w:rFonts w:hint="eastAsia" w:ascii="新宋体" w:hAnsi="新宋体" w:eastAsia="新宋体" w:cs="新宋体"/>
                <w:b/>
                <w:bCs/>
                <w:sz w:val="21"/>
                <w:szCs w:val="24"/>
                <w:highlight w:val="none"/>
                <w:vertAlign w:val="baseline"/>
                <w:lang w:val="en-US" w:eastAsia="zh-CN"/>
              </w:rPr>
            </w:pP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center"/>
              <w:textAlignment w:val="auto"/>
              <w:outlineLvl w:val="9"/>
              <w:rPr>
                <w:rFonts w:hint="eastAsia" w:ascii="黑体" w:hAnsi="黑体" w:eastAsia="黑体"/>
                <w:b/>
                <w:bCs/>
                <w:highlight w:val="none"/>
                <w:vertAlign w:val="baseline"/>
                <w:lang w:val="en-US" w:eastAsia="zh-CN"/>
              </w:rPr>
            </w:pPr>
            <w:r>
              <w:rPr>
                <w:rFonts w:hint="eastAsia" w:ascii="黑体" w:hAnsi="黑体" w:eastAsia="黑体"/>
                <w:b/>
                <w:bCs/>
                <w:highlight w:val="none"/>
                <w:vertAlign w:val="baseline"/>
                <w:lang w:val="en-US" w:eastAsia="zh-CN"/>
              </w:rPr>
              <w:t>问题点</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center"/>
              <w:textAlignment w:val="auto"/>
              <w:outlineLvl w:val="9"/>
              <w:rPr>
                <w:rFonts w:hint="eastAsia" w:ascii="黑体" w:hAnsi="黑体" w:eastAsia="黑体"/>
                <w:b/>
                <w:bCs/>
                <w:highlight w:val="none"/>
                <w:vertAlign w:val="baseline"/>
                <w:lang w:val="en-US" w:eastAsia="zh-CN"/>
              </w:rPr>
            </w:pPr>
            <w:r>
              <w:rPr>
                <w:rFonts w:hint="eastAsia" w:ascii="黑体" w:hAnsi="黑体" w:eastAsia="黑体"/>
                <w:b/>
                <w:bCs/>
                <w:highlight w:val="none"/>
                <w:vertAlign w:val="baseline"/>
                <w:lang w:val="en-US" w:eastAsia="zh-CN"/>
              </w:rPr>
              <w:t>建议</w:t>
            </w:r>
          </w:p>
        </w:tc>
        <w:tc>
          <w:tcPr>
            <w:tcW w:w="2118" w:type="dxa"/>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center"/>
              <w:textAlignment w:val="auto"/>
              <w:outlineLvl w:val="9"/>
              <w:rPr>
                <w:rFonts w:hint="eastAsia" w:ascii="黑体" w:hAnsi="黑体" w:eastAsia="黑体"/>
                <w:b/>
                <w:bCs/>
                <w:highlight w:val="none"/>
                <w:vertAlign w:val="baseline"/>
                <w:lang w:val="en-US" w:eastAsia="zh-CN"/>
              </w:rPr>
            </w:pPr>
            <w:r>
              <w:rPr>
                <w:rFonts w:hint="eastAsia" w:ascii="黑体" w:hAnsi="黑体" w:eastAsia="黑体"/>
                <w:b/>
                <w:bCs/>
                <w:highlight w:val="none"/>
                <w:vertAlign w:val="baseline"/>
                <w:lang w:val="en-US" w:eastAsia="zh-CN"/>
              </w:rPr>
              <w:t>问题点</w:t>
            </w:r>
          </w:p>
        </w:tc>
        <w:tc>
          <w:tcPr>
            <w:tcW w:w="2552" w:type="dxa"/>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center"/>
              <w:textAlignment w:val="auto"/>
              <w:outlineLvl w:val="9"/>
              <w:rPr>
                <w:rFonts w:hint="eastAsia" w:ascii="黑体" w:hAnsi="黑体" w:eastAsia="黑体"/>
                <w:b/>
                <w:bCs/>
                <w:highlight w:val="none"/>
                <w:vertAlign w:val="baseline"/>
                <w:lang w:val="en-US" w:eastAsia="zh-CN"/>
              </w:rPr>
            </w:pPr>
            <w:r>
              <w:rPr>
                <w:rFonts w:hint="eastAsia" w:ascii="黑体" w:hAnsi="黑体" w:eastAsia="黑体"/>
                <w:b/>
                <w:bCs/>
                <w:highlight w:val="none"/>
                <w:vertAlign w:val="baseline"/>
                <w:lang w:val="en-US" w:eastAsia="zh-CN"/>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对消防中断的办理流程是否熟悉，是否有内部培训宣贯</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更新修订后，还未对本部门相关班组开展中断管理流程培训。</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新版《消防中断管理规范》及中断申请单应及时培训和分发到各班组，掌握具体流程及管理规范内容。</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新修订后未培训，无记录。</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新版《消防中断管理规范》及中断申请单应及时培训和分发到各班组，掌握具体流程及管理规范内容。中断作业期间需要按新规范进行现场管理巡查，并记录。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现有中断作业是否严格执行新规范要求流程</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目前不涉及</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目前不涉及</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是否建立专门的消防中断档案，并对旧版申请手续进行及时更换</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未产生中断施工作业</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未产生中断施工作业</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电工作业值班、检修人员是否有持证上岗，是否有定期进行职业体检</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60" w:beforeAutospacing="0" w:after="6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有建立电工及其它特种作业资格证档案。但检查本年度体检记录发现有部分岗位人员未参与统一的公司年度体检。</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60" w:beforeAutospacing="0" w:after="6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高低压作业，严禁有癫痫等疾病人员操作。为避免有后天性患病，应要求每年度全员特种作业人员均要体检覆盖，建议甄别目前工程部门未体检人员岗位，纳入计划推进体检工作，或岗位调配相关工作。后续系统性规范性的管理特种作业人员年度体检，部门HSE专人跟踪记录。</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60" w:beforeAutospacing="0" w:after="6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是否对电工相关岗位进行安全教育及岗位技能培训，并有培训考核记录。</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有较全面的高低压等电工作业培训课件，但培年度训计划内体现，多采取发给岗位人员自学的方式；部分考核记录显示分数较低的新人，没有再教育的记录，未纳入试用期考核指标。</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根据岗位制定年度培训计划，严格落实培训工作，培训和考核相结合，尤其针对新员工考核，纳入试用期考核评价指标，体现培训体系的实用性，专业性。</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是否建立并执行交接班规定，保留值班交接记录；是否有进行高压设备巡查，并保留记录</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有南北区域高低压房每日交接班记录，工作交接内容详尽，清晰明了。对巡查产生的问题有上FM系统，有闭环痕迹。</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无</w:t>
            </w:r>
          </w:p>
        </w:tc>
        <w:tc>
          <w:tcPr>
            <w:tcW w:w="2118" w:type="dxa"/>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552" w:type="dxa"/>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9"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检查工作票、倒闸票规定。倒闸操作是否严格执行操作规程，提前向运营公司申请，并和相关部门沟通联系，提前1天填写好《倒闸操作票》。</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1.未执行规范要求的工作票流程。</w:t>
            </w:r>
          </w:p>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2.倒闸操作严格按规范执行，有记录，有存档管理。</w:t>
            </w:r>
          </w:p>
        </w:tc>
        <w:tc>
          <w:tcPr>
            <w:tcW w:w="3477" w:type="dxa"/>
            <w:vAlign w:val="center"/>
          </w:tcPr>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1.如规范针对工作票的规定影响到工作的</w:t>
            </w:r>
            <w:r>
              <w:rPr>
                <w:rFonts w:hint="eastAsia" w:ascii="新宋体" w:hAnsi="新宋体" w:eastAsia="新宋体" w:cs="新宋体"/>
                <w:sz w:val="18"/>
                <w:szCs w:val="18"/>
                <w:highlight w:val="none"/>
                <w:vertAlign w:val="baseline"/>
                <w:lang w:val="en-US" w:eastAsia="zh-CN"/>
              </w:rPr>
              <w:t>效率，不具备可行性，请重启修订程序，避免不合规性。</w:t>
            </w:r>
          </w:p>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2.无</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6"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80" w:beforeAutospacing="0" w:after="80" w:afterAutospacing="0"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每年应对避雷设施进行检测（省、市气象部门指定的机构）；</w:t>
            </w:r>
          </w:p>
          <w:p>
            <w:pPr>
              <w:keepNext w:val="0"/>
              <w:keepLines w:val="0"/>
              <w:pageBreakBefore w:val="0"/>
              <w:widowControl w:val="0"/>
              <w:kinsoku/>
              <w:wordWrap/>
              <w:overflowPunct/>
              <w:topLinePunct w:val="0"/>
              <w:autoSpaceDE/>
              <w:autoSpaceDN/>
              <w:bidi w:val="0"/>
              <w:adjustRightInd/>
              <w:snapToGrid/>
              <w:spacing w:before="80" w:beforeAutospacing="0" w:after="80" w:afterAutospacing="0"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应对用电设备的绝缘电阻进行定期测试，绝缘测试可在电气设备维护保养时进行。</w:t>
            </w:r>
          </w:p>
          <w:p>
            <w:pPr>
              <w:keepNext w:val="0"/>
              <w:keepLines w:val="0"/>
              <w:pageBreakBefore w:val="0"/>
              <w:widowControl w:val="0"/>
              <w:kinsoku/>
              <w:wordWrap/>
              <w:overflowPunct/>
              <w:topLinePunct w:val="0"/>
              <w:autoSpaceDE/>
              <w:autoSpaceDN/>
              <w:bidi w:val="0"/>
              <w:adjustRightInd/>
              <w:snapToGrid/>
              <w:spacing w:before="80" w:beforeAutospacing="0" w:after="80" w:afterAutospacing="0"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每年应对自动切换的双电源装置进行不少于一次的功能试验。试验可在变配电设备停电保养时进行；</w:t>
            </w:r>
          </w:p>
          <w:p>
            <w:pPr>
              <w:keepNext w:val="0"/>
              <w:keepLines w:val="0"/>
              <w:pageBreakBefore w:val="0"/>
              <w:widowControl w:val="0"/>
              <w:kinsoku/>
              <w:wordWrap/>
              <w:overflowPunct/>
              <w:topLinePunct w:val="0"/>
              <w:autoSpaceDE/>
              <w:autoSpaceDN/>
              <w:bidi w:val="0"/>
              <w:adjustRightInd/>
              <w:snapToGrid/>
              <w:spacing w:before="80" w:beforeAutospacing="0" w:after="80" w:afterAutospacing="0"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应定期进行漏电开关的功能试验，每年不少于一次。</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1.2023年度防雷检测于9月份完成，但记录的35项一般性隐患问题，目前没有整改闭环，未纳入工作计划推进。</w:t>
            </w:r>
          </w:p>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2.双电源装置测试有在2023年度专项维保工作中体现，有记录。</w:t>
            </w:r>
          </w:p>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3.绝缘电阻测试。主回路，主抽屉柜，主变电柜等在2023年1月份完成三方测试。其它近8000个配电箱有见部分测试记录，无依据证明完成了年度全覆盖，未见纳入年度工作计划，没有明确的维保动作指引体现出绝缘测试的必须性。</w:t>
            </w:r>
          </w:p>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4.漏电开关测试。附属楼有见测试记录，馆内可能有实际在工作中测试，但未见工作记录，FM系统内也未体现。没有明确的测试必要性的作业动作标准，没有书面测试的工作计划。</w:t>
            </w:r>
          </w:p>
        </w:tc>
        <w:tc>
          <w:tcPr>
            <w:tcW w:w="3477"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防雷检测作为后续该项业务开展的方向提供指导作用，请将35项问题纳入工作计划中进行不间断推动至闭环。</w:t>
            </w:r>
          </w:p>
          <w:p>
            <w:pPr>
              <w:keepNext w:val="0"/>
              <w:keepLines w:val="0"/>
              <w:pageBreakBefore w:val="0"/>
              <w:widowControl w:val="0"/>
              <w:numPr>
                <w:ilvl w:val="0"/>
                <w:numId w:val="1"/>
              </w:numPr>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避免遗漏，建议导入FM系统管理。</w:t>
            </w:r>
          </w:p>
          <w:p>
            <w:pPr>
              <w:keepNext w:val="0"/>
              <w:keepLines w:val="0"/>
              <w:pageBreakBefore w:val="0"/>
              <w:widowControl w:val="0"/>
              <w:numPr>
                <w:ilvl w:val="0"/>
                <w:numId w:val="1"/>
              </w:numPr>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基数庞大，需要在后续纳入工作计划，分周逐月按季度推进检测，并导入系统，管理留痕。同时，列入维保工作的内容清单，作为需要完成的标准动作之一。</w:t>
            </w:r>
          </w:p>
          <w:p>
            <w:pPr>
              <w:keepNext w:val="0"/>
              <w:keepLines w:val="0"/>
              <w:pageBreakBefore w:val="0"/>
              <w:widowControl w:val="0"/>
              <w:numPr>
                <w:ilvl w:val="0"/>
                <w:numId w:val="1"/>
              </w:numPr>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同上。</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2730" w:type="dxa"/>
            <w:vAlign w:val="center"/>
          </w:tcPr>
          <w:p>
            <w:pPr>
              <w:keepNext w:val="0"/>
              <w:keepLines w:val="0"/>
              <w:pageBreakBefore w:val="0"/>
              <w:widowControl w:val="0"/>
              <w:kinsoku/>
              <w:wordWrap/>
              <w:overflowPunct/>
              <w:topLinePunct w:val="0"/>
              <w:autoSpaceDE/>
              <w:autoSpaceDN/>
              <w:bidi w:val="0"/>
              <w:adjustRightInd/>
              <w:snapToGrid/>
              <w:spacing w:before="80" w:beforeAutospacing="0" w:after="80" w:afterAutospacing="0" w:line="240" w:lineRule="auto"/>
              <w:ind w:left="0" w:leftChars="0" w:right="0" w:rightChars="0" w:firstLine="0" w:firstLineChars="0"/>
              <w:jc w:val="left"/>
              <w:textAlignment w:val="auto"/>
              <w:outlineLvl w:val="9"/>
              <w:rPr>
                <w:rFonts w:hint="eastAsia" w:ascii="新宋体" w:hAnsi="新宋体" w:eastAsia="新宋体" w:cs="新宋体"/>
                <w:b/>
                <w:bCs/>
                <w:highlight w:val="none"/>
                <w:vertAlign w:val="baseline"/>
                <w:lang w:val="en-US" w:eastAsia="zh-CN"/>
              </w:rPr>
            </w:pPr>
            <w:r>
              <w:rPr>
                <w:rFonts w:hint="eastAsia" w:ascii="新宋体" w:hAnsi="新宋体" w:eastAsia="新宋体" w:cs="新宋体"/>
                <w:b/>
                <w:bCs/>
                <w:highlight w:val="none"/>
                <w:vertAlign w:val="baseline"/>
                <w:lang w:val="en-US" w:eastAsia="zh-CN"/>
              </w:rPr>
              <w:t>临时用电是否办理申请手续审批实施？电动工具是否按季度检测并有相关记录档案</w:t>
            </w:r>
          </w:p>
        </w:tc>
        <w:tc>
          <w:tcPr>
            <w:tcW w:w="3623" w:type="dxa"/>
            <w:vAlign w:val="center"/>
          </w:tcPr>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1.临时用电有完整的审批手续，有及时存档管</w:t>
            </w:r>
            <w:r>
              <w:rPr>
                <w:rFonts w:hint="eastAsia" w:ascii="新宋体" w:hAnsi="新宋体" w:eastAsia="新宋体" w:cs="新宋体"/>
                <w:sz w:val="18"/>
                <w:szCs w:val="18"/>
                <w:highlight w:val="none"/>
                <w:vertAlign w:val="baseline"/>
                <w:lang w:val="en-US" w:eastAsia="zh-CN"/>
              </w:rPr>
              <w:t>理。</w:t>
            </w:r>
          </w:p>
          <w:p>
            <w:pPr>
              <w:keepNext w:val="0"/>
              <w:keepLines w:val="0"/>
              <w:pageBreakBefore w:val="0"/>
              <w:widowControl w:val="0"/>
              <w:kinsoku/>
              <w:wordWrap/>
              <w:overflowPunct/>
              <w:topLinePunct w:val="0"/>
              <w:autoSpaceDE/>
              <w:autoSpaceDN/>
              <w:bidi w:val="0"/>
              <w:adjustRightInd/>
              <w:snapToGrid/>
              <w:spacing w:beforeAutospacing="0" w:after="20" w:afterAutospacing="0"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2.电动工具季度检测未见书面测试记录台账，未清晰体现出现有工具的测试时间，再测试时间预警等数据</w:t>
            </w:r>
            <w:r>
              <w:rPr>
                <w:rFonts w:hint="eastAsia" w:ascii="新宋体" w:hAnsi="新宋体" w:eastAsia="新宋体" w:cs="新宋体"/>
                <w:sz w:val="18"/>
                <w:szCs w:val="18"/>
                <w:highlight w:val="none"/>
                <w:vertAlign w:val="baseline"/>
                <w:lang w:val="en-US" w:eastAsia="zh-CN"/>
              </w:rPr>
              <w:t>。</w:t>
            </w:r>
          </w:p>
        </w:tc>
        <w:tc>
          <w:tcPr>
            <w:tcW w:w="3477"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建立电动工具的台账记录，将季度检测的工作纳入到记录表内，及时记录测试时间，使用人员，再测试时间等关键信息，安排专人负责统筹，监督检测工作的开展。以避免故障等隐患甚至事故发生。</w:t>
            </w:r>
          </w:p>
        </w:tc>
        <w:tc>
          <w:tcPr>
            <w:tcW w:w="21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c>
          <w:tcPr>
            <w:tcW w:w="25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00" w:beforeLines="100" w:beforeAutospacing="1" w:after="100" w:afterLines="100" w:afterAutospacing="1" w:line="240" w:lineRule="auto"/>
              <w:ind w:left="0" w:leftChars="0" w:right="0" w:rightChars="0" w:firstLine="0" w:firstLineChars="0"/>
              <w:jc w:val="left"/>
              <w:textAlignment w:val="auto"/>
              <w:outlineLvl w:val="9"/>
              <w:rPr>
                <w:rFonts w:hint="eastAsia" w:ascii="新宋体" w:hAnsi="新宋体" w:eastAsia="新宋体" w:cs="新宋体"/>
                <w:sz w:val="18"/>
                <w:szCs w:val="18"/>
                <w:highlight w:val="none"/>
                <w:vertAlign w:val="baseline"/>
                <w:lang w:val="en-US" w:eastAsia="zh-CN"/>
              </w:rPr>
            </w:pPr>
            <w:r>
              <w:rPr>
                <w:rFonts w:hint="eastAsia" w:ascii="新宋体" w:hAnsi="新宋体" w:eastAsia="新宋体" w:cs="新宋体"/>
                <w:sz w:val="18"/>
                <w:szCs w:val="18"/>
                <w:highlight w:val="none"/>
                <w:vertAlign w:val="baseline"/>
                <w:lang w:val="en-US" w:eastAsia="zh-CN"/>
              </w:rPr>
              <w:t>/</w:t>
            </w:r>
          </w:p>
        </w:tc>
      </w:tr>
    </w:tbl>
    <w:p>
      <w:pPr>
        <w:jc w:val="left"/>
        <w:rPr>
          <w:rFonts w:hint="eastAsia" w:ascii="新宋体" w:hAnsi="新宋体" w:eastAsia="新宋体" w:cs="新宋体"/>
          <w:kern w:val="2"/>
          <w:sz w:val="21"/>
          <w:szCs w:val="24"/>
          <w:highlight w:val="none"/>
          <w:vertAlign w:val="baseline"/>
          <w:lang w:val="en-US" w:eastAsia="zh-CN" w:bidi="ar-SA"/>
        </w:rPr>
      </w:pPr>
    </w:p>
    <w:p>
      <w:pPr>
        <w:tabs>
          <w:tab w:val="left" w:pos="12629"/>
        </w:tabs>
        <w:jc w:val="left"/>
        <w:rPr>
          <w:rFonts w:hint="eastAsia" w:ascii="新宋体" w:hAnsi="新宋体" w:eastAsia="新宋体" w:cs="新宋体"/>
          <w:kern w:val="2"/>
          <w:sz w:val="21"/>
          <w:szCs w:val="24"/>
          <w:highlight w:val="none"/>
          <w:vertAlign w:val="baseline"/>
          <w:lang w:val="en-US" w:eastAsia="zh-CN" w:bidi="ar-SA"/>
        </w:rPr>
      </w:pPr>
      <w:r>
        <w:rPr>
          <w:rFonts w:hint="eastAsia" w:ascii="新宋体" w:hAnsi="新宋体" w:eastAsia="新宋体" w:cs="新宋体"/>
          <w:kern w:val="2"/>
          <w:sz w:val="21"/>
          <w:szCs w:val="24"/>
          <w:highlight w:val="none"/>
          <w:vertAlign w:val="baseline"/>
          <w:lang w:val="en-US" w:eastAsia="zh-CN" w:bidi="ar-SA"/>
        </w:rPr>
        <w:tab/>
        <w:t>安监组</w:t>
      </w:r>
    </w:p>
    <w:p>
      <w:pPr>
        <w:tabs>
          <w:tab w:val="left" w:pos="12042"/>
        </w:tabs>
        <w:jc w:val="left"/>
        <w:rPr>
          <w:rFonts w:hint="eastAsia" w:ascii="新宋体" w:hAnsi="新宋体" w:eastAsia="新宋体" w:cs="新宋体"/>
          <w:kern w:val="2"/>
          <w:sz w:val="21"/>
          <w:szCs w:val="24"/>
          <w:highlight w:val="none"/>
          <w:vertAlign w:val="baseline"/>
          <w:lang w:val="en-US" w:eastAsia="zh-CN" w:bidi="ar-SA"/>
        </w:rPr>
      </w:pPr>
      <w:bookmarkStart w:id="0" w:name="_GoBack"/>
      <w:bookmarkEnd w:id="0"/>
      <w:r>
        <w:rPr>
          <w:rFonts w:hint="eastAsia" w:ascii="新宋体" w:hAnsi="新宋体" w:eastAsia="新宋体" w:cs="新宋体"/>
          <w:kern w:val="2"/>
          <w:sz w:val="21"/>
          <w:szCs w:val="24"/>
          <w:highlight w:val="none"/>
          <w:vertAlign w:val="baseline"/>
          <w:lang w:val="en-US" w:eastAsia="zh-CN" w:bidi="ar-SA"/>
        </w:rPr>
        <w:tab/>
        <w:t xml:space="preserve">    2023.12.14</w:t>
      </w:r>
    </w:p>
    <w:sectPr>
      <w:pgSz w:w="16838" w:h="11906" w:orient="landscape"/>
      <w:pgMar w:top="760" w:right="703" w:bottom="1800" w:left="918" w:header="851" w:footer="992" w:gutter="0"/>
      <w:pgBorders>
        <w:top w:val="none" w:color="auto" w:sz="0" w:space="0"/>
        <w:left w:val="none" w:color="auto" w:sz="0" w:space="0"/>
        <w:bottom w:val="none" w:color="auto" w:sz="0" w:space="0"/>
        <w:right w:val="none" w:color="auto"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decorative"/>
    <w:pitch w:val="default"/>
    <w:sig w:usb0="80000287" w:usb1="2ACF3C50" w:usb2="00000016" w:usb3="00000000" w:csb0="0004001F"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roman"/>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modern"/>
    <w:pitch w:val="default"/>
    <w:sig w:usb0="80000287" w:usb1="2ACF3C50" w:usb2="00000016" w:usb3="00000000" w:csb0="0004001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roman"/>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2552791">
    <w:nsid w:val="657AE4D7"/>
    <w:multiLevelType w:val="singleLevel"/>
    <w:tmpl w:val="657AE4D7"/>
    <w:lvl w:ilvl="0" w:tentative="1">
      <w:start w:val="1"/>
      <w:numFmt w:val="decimal"/>
      <w:suff w:val="nothing"/>
      <w:lvlText w:val="%1."/>
      <w:lvlJc w:val="left"/>
    </w:lvl>
  </w:abstractNum>
  <w:abstractNum w:abstractNumId="1702553162">
    <w:nsid w:val="657AE64A"/>
    <w:multiLevelType w:val="singleLevel"/>
    <w:tmpl w:val="657AE64A"/>
    <w:lvl w:ilvl="0" w:tentative="1">
      <w:start w:val="1"/>
      <w:numFmt w:val="decimal"/>
      <w:suff w:val="nothing"/>
      <w:lvlText w:val="%1."/>
      <w:lvlJc w:val="left"/>
    </w:lvl>
  </w:abstractNum>
  <w:num w:numId="1">
    <w:abstractNumId w:val="1702552791"/>
  </w:num>
  <w:num w:numId="2">
    <w:abstractNumId w:val="1702553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D38F2"/>
    <w:rsid w:val="049665A3"/>
    <w:rsid w:val="04EC31CD"/>
    <w:rsid w:val="0B591DF1"/>
    <w:rsid w:val="0D201998"/>
    <w:rsid w:val="153F5E19"/>
    <w:rsid w:val="22D04FF8"/>
    <w:rsid w:val="24F577A5"/>
    <w:rsid w:val="2AAC1995"/>
    <w:rsid w:val="300D38F2"/>
    <w:rsid w:val="3E3463BB"/>
    <w:rsid w:val="40DD11E8"/>
    <w:rsid w:val="51524F3A"/>
    <w:rsid w:val="59DE1969"/>
    <w:rsid w:val="61885EB4"/>
    <w:rsid w:val="63DC362B"/>
    <w:rsid w:val="6E61429B"/>
    <w:rsid w:val="779D3129"/>
    <w:rsid w:val="7B845B65"/>
    <w:rsid w:val="7CCB22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2023-10-18T06:14:00Z</dcterms:created>
  <dc:creator>Administrator</dc:creator>
  <cp:lastModifiedBy>Administrator</cp:lastModifiedBy>
  <dcterms:modified xsi:type="dcterms:W3CDTF">2023-12-14T11:32:28Z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