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default" w:ascii="Times New Roman" w:hAnsi="Times New Roman" w:cs="Times New Roman"/>
        </w:rPr>
      </w:pPr>
      <w:r>
        <w:rPr>
          <w:rFonts w:hint="default" w:ascii="Times New Roman" w:hAnsi="Times New Roman" w:eastAsia="方正小标宋简体" w:cs="Times New Roman"/>
          <w:bCs/>
          <w:sz w:val="44"/>
          <w:szCs w:val="44"/>
        </w:rPr>
        <w:t>重大电力安全隐患判定标准（</w:t>
      </w:r>
      <w:r>
        <w:rPr>
          <w:rFonts w:hint="default" w:ascii="Times New Roman" w:hAnsi="Times New Roman" w:eastAsia="方正小标宋简体" w:cs="Times New Roman"/>
          <w:bCs/>
          <w:sz w:val="44"/>
          <w:szCs w:val="44"/>
          <w:lang w:val="en-US" w:eastAsia="zh-CN"/>
        </w:rPr>
        <w:t>试行</w:t>
      </w:r>
      <w:r>
        <w:rPr>
          <w:rFonts w:hint="default" w:ascii="Times New Roman" w:hAnsi="Times New Roman" w:eastAsia="方正小标宋简体" w:cs="Times New Roman"/>
          <w:bCs/>
          <w:sz w:val="44"/>
          <w:szCs w:val="44"/>
        </w:rPr>
        <w:t>）</w:t>
      </w:r>
    </w:p>
    <w:p>
      <w:pPr>
        <w:keepNext w:val="0"/>
        <w:keepLines w:val="0"/>
        <w:pageBreakBefore w:val="0"/>
        <w:widowControl w:val="0"/>
        <w:tabs>
          <w:tab w:val="left" w:pos="142"/>
        </w:tabs>
        <w:kinsoku/>
        <w:wordWrap/>
        <w:overflowPunct/>
        <w:topLinePunct w:val="0"/>
        <w:autoSpaceDE/>
        <w:autoSpaceDN/>
        <w:bidi w:val="0"/>
        <w:adjustRightInd/>
        <w:snapToGrid/>
        <w:spacing w:line="578" w:lineRule="exact"/>
        <w:ind w:left="0" w:leftChars="0" w:firstLine="0" w:firstLineChars="0"/>
        <w:jc w:val="center"/>
        <w:textAlignment w:val="auto"/>
        <w:rPr>
          <w:rFonts w:ascii="Times New Roman" w:hAnsi="Times New Roman" w:eastAsia="方正小标宋简体" w:cs="Times New Roman"/>
          <w:bCs/>
          <w:color w:val="FF0000"/>
          <w:sz w:val="44"/>
          <w:szCs w:val="44"/>
        </w:rPr>
      </w:pPr>
    </w:p>
    <w:p>
      <w:pPr>
        <w:pStyle w:val="8"/>
        <w:keepNext w:val="0"/>
        <w:keepLines w:val="0"/>
        <w:pageBreakBefore w:val="0"/>
        <w:widowControl w:val="0"/>
        <w:tabs>
          <w:tab w:val="left" w:pos="142"/>
        </w:tabs>
        <w:kinsoku/>
        <w:wordWrap/>
        <w:overflowPunct/>
        <w:topLinePunct w:val="0"/>
        <w:autoSpaceDE/>
        <w:autoSpaceDN/>
        <w:bidi w:val="0"/>
        <w:adjustRightInd/>
        <w:snapToGrid/>
        <w:spacing w:line="578" w:lineRule="exact"/>
        <w:ind w:firstLine="640"/>
        <w:textAlignment w:val="auto"/>
        <w:rPr>
          <w:rFonts w:ascii="Times New Roman" w:hAnsi="Times New Roman" w:eastAsia="仿宋_GB2312" w:cs="Times New Roman"/>
          <w:color w:val="333333"/>
          <w:sz w:val="32"/>
          <w:szCs w:val="32"/>
          <w:shd w:val="clear" w:color="auto" w:fill="FFFFFF"/>
        </w:rPr>
      </w:pPr>
      <w:r>
        <w:rPr>
          <w:rStyle w:val="7"/>
          <w:rFonts w:hint="default" w:ascii="Times New Roman" w:hAnsi="Times New Roman" w:eastAsia="黑体" w:cs="Times New Roman"/>
          <w:b w:val="0"/>
          <w:bCs w:val="0"/>
          <w:kern w:val="0"/>
          <w:sz w:val="32"/>
          <w:szCs w:val="32"/>
        </w:rPr>
        <w:t>第一条</w:t>
      </w:r>
      <w:r>
        <w:rPr>
          <w:rStyle w:val="7"/>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为准确认定、及时消除重大电力安全隐患（以下简称重大隐患），有效防范和遏制重特大生产安全事故，根据《中华人民共和国安全生产法》《电力安全隐患</w:t>
      </w:r>
      <w:r>
        <w:rPr>
          <w:rFonts w:hint="eastAsia" w:ascii="Times New Roman" w:hAnsi="Times New Roman" w:eastAsia="仿宋_GB2312" w:cs="Times New Roman"/>
          <w:sz w:val="32"/>
          <w:szCs w:val="32"/>
          <w:lang w:eastAsia="zh-CN"/>
        </w:rPr>
        <w:t>治理</w:t>
      </w:r>
      <w:r>
        <w:rPr>
          <w:rFonts w:hint="default" w:ascii="Times New Roman" w:hAnsi="Times New Roman" w:eastAsia="仿宋_GB2312" w:cs="Times New Roman"/>
          <w:sz w:val="32"/>
          <w:szCs w:val="32"/>
        </w:rPr>
        <w:t>监督管理规定》以及有关法律法规、规章、政策文件和强制性标准的相关规定，制定本</w:t>
      </w:r>
      <w:r>
        <w:rPr>
          <w:rFonts w:hint="default" w:ascii="Times New Roman" w:hAnsi="Times New Roman" w:eastAsia="仿宋_GB2312" w:cs="Times New Roman"/>
          <w:sz w:val="32"/>
          <w:szCs w:val="32"/>
          <w:lang w:val="en-US" w:eastAsia="zh-CN"/>
        </w:rPr>
        <w:t>判定</w:t>
      </w:r>
      <w:r>
        <w:rPr>
          <w:rFonts w:hint="default" w:ascii="Times New Roman" w:hAnsi="Times New Roman" w:eastAsia="仿宋_GB2312" w:cs="Times New Roman"/>
          <w:sz w:val="32"/>
          <w:szCs w:val="32"/>
        </w:rPr>
        <w:t>标准。</w:t>
      </w:r>
      <w:bookmarkStart w:id="1" w:name="_GoBack"/>
      <w:bookmarkEnd w:id="1"/>
    </w:p>
    <w:p>
      <w:pPr>
        <w:pStyle w:val="8"/>
        <w:keepNext w:val="0"/>
        <w:keepLines w:val="0"/>
        <w:pageBreakBefore w:val="0"/>
        <w:widowControl w:val="0"/>
        <w:tabs>
          <w:tab w:val="left" w:pos="142"/>
        </w:tabs>
        <w:kinsoku/>
        <w:wordWrap/>
        <w:overflowPunct/>
        <w:topLinePunct w:val="0"/>
        <w:autoSpaceDE/>
        <w:autoSpaceDN/>
        <w:bidi w:val="0"/>
        <w:adjustRightInd/>
        <w:snapToGrid/>
        <w:spacing w:line="578" w:lineRule="exact"/>
        <w:ind w:firstLine="640"/>
        <w:textAlignment w:val="auto"/>
        <w:rPr>
          <w:rStyle w:val="9"/>
          <w:rFonts w:hint="default" w:ascii="Times New Roman" w:hAnsi="Times New Roman" w:eastAsia="仿宋_GB2312" w:cs="Times New Roman"/>
          <w:color w:val="000000"/>
          <w:sz w:val="32"/>
          <w:szCs w:val="32"/>
          <w:lang w:eastAsia="zh-CN"/>
        </w:rPr>
      </w:pPr>
      <w:r>
        <w:rPr>
          <w:rStyle w:val="7"/>
          <w:rFonts w:hint="default" w:ascii="Times New Roman" w:hAnsi="Times New Roman" w:eastAsia="黑体" w:cs="Times New Roman"/>
          <w:b w:val="0"/>
          <w:bCs w:val="0"/>
          <w:kern w:val="0"/>
          <w:sz w:val="32"/>
          <w:szCs w:val="32"/>
        </w:rPr>
        <w:t xml:space="preserve">第二条  </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判定</w:t>
      </w:r>
      <w:r>
        <w:rPr>
          <w:rFonts w:hint="default" w:ascii="Times New Roman" w:hAnsi="Times New Roman" w:eastAsia="仿宋_GB2312" w:cs="Times New Roman"/>
          <w:sz w:val="32"/>
          <w:szCs w:val="32"/>
        </w:rPr>
        <w:t>标准适用于</w:t>
      </w:r>
      <w:r>
        <w:rPr>
          <w:rStyle w:val="9"/>
          <w:rFonts w:hint="default" w:ascii="Times New Roman" w:hAnsi="Times New Roman" w:eastAsia="仿宋_GB2312" w:cs="Times New Roman"/>
          <w:color w:val="000000"/>
          <w:sz w:val="32"/>
          <w:szCs w:val="32"/>
        </w:rPr>
        <w:t>判定</w:t>
      </w:r>
      <w:r>
        <w:rPr>
          <w:rStyle w:val="9"/>
          <w:rFonts w:hint="default" w:ascii="Times New Roman" w:hAnsi="Times New Roman" w:eastAsia="仿宋_GB2312" w:cs="Times New Roman"/>
          <w:color w:val="000000"/>
          <w:sz w:val="32"/>
          <w:szCs w:val="32"/>
          <w:lang w:val="en-US" w:eastAsia="zh-CN"/>
        </w:rPr>
        <w:t>国家能源局电力安全监督管理范围内的重大</w:t>
      </w:r>
      <w:r>
        <w:rPr>
          <w:rStyle w:val="9"/>
          <w:rFonts w:hint="default" w:ascii="Times New Roman" w:hAnsi="Times New Roman" w:eastAsia="仿宋_GB2312" w:cs="Times New Roman"/>
          <w:color w:val="000000"/>
          <w:sz w:val="32"/>
          <w:szCs w:val="32"/>
        </w:rPr>
        <w:t>隐患</w:t>
      </w:r>
      <w:r>
        <w:rPr>
          <w:rStyle w:val="9"/>
          <w:rFonts w:hint="default" w:ascii="Times New Roman" w:hAnsi="Times New Roman" w:eastAsia="仿宋_GB2312" w:cs="Times New Roman"/>
          <w:color w:val="000000"/>
          <w:sz w:val="32"/>
          <w:szCs w:val="32"/>
          <w:lang w:eastAsia="zh-CN"/>
        </w:rPr>
        <w:t>。</w:t>
      </w:r>
      <w:r>
        <w:rPr>
          <w:rStyle w:val="9"/>
          <w:rFonts w:hint="default" w:ascii="Times New Roman" w:hAnsi="Times New Roman" w:eastAsia="仿宋_GB2312" w:cs="Times New Roman"/>
          <w:color w:val="000000"/>
          <w:sz w:val="32"/>
          <w:szCs w:val="32"/>
        </w:rPr>
        <w:t>危险化学品、消防（火灾）、特种设备等有关行业领域对重大事故隐患判定标准另有规定的，适用其规定</w:t>
      </w:r>
      <w:r>
        <w:rPr>
          <w:rStyle w:val="9"/>
          <w:rFonts w:hint="default" w:ascii="Times New Roman" w:hAnsi="Times New Roman" w:eastAsia="仿宋_GB2312" w:cs="Times New Roman"/>
          <w:color w:val="000000"/>
          <w:sz w:val="32"/>
          <w:szCs w:val="32"/>
          <w:lang w:eastAsia="zh-CN"/>
        </w:rPr>
        <w:t>。</w:t>
      </w:r>
    </w:p>
    <w:p>
      <w:pPr>
        <w:pStyle w:val="8"/>
        <w:keepNext w:val="0"/>
        <w:keepLines w:val="0"/>
        <w:pageBreakBefore w:val="0"/>
        <w:widowControl w:val="0"/>
        <w:tabs>
          <w:tab w:val="left" w:pos="142"/>
        </w:tabs>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sz w:val="32"/>
          <w:szCs w:val="32"/>
          <w:lang w:val="en-US"/>
        </w:rPr>
      </w:pPr>
      <w:r>
        <w:rPr>
          <w:rStyle w:val="7"/>
          <w:rFonts w:ascii="Times New Roman" w:hAnsi="Times New Roman" w:eastAsia="黑体" w:cs="Times New Roman"/>
          <w:b w:val="0"/>
          <w:bCs w:val="0"/>
          <w:kern w:val="0"/>
        </w:rPr>
        <w:t>第三条</w:t>
      </w:r>
      <w:r>
        <w:rPr>
          <w:rStyle w:val="9"/>
          <w:rFonts w:hint="default" w:ascii="Times New Roman" w:hAnsi="Times New Roman" w:eastAsia="仿宋_GB2312" w:cs="Times New Roman"/>
          <w:color w:val="000000"/>
          <w:sz w:val="32"/>
          <w:szCs w:val="32"/>
          <w:lang w:val="en-US" w:eastAsia="zh-CN"/>
        </w:rPr>
        <w:t xml:space="preserve"> </w:t>
      </w:r>
      <w:r>
        <w:rPr>
          <w:rStyle w:val="9"/>
          <w:rFonts w:hint="eastAsia" w:ascii="Times New Roman" w:hAnsi="Times New Roman" w:eastAsia="仿宋_GB2312" w:cs="Times New Roman"/>
          <w:color w:val="000000"/>
          <w:sz w:val="32"/>
          <w:szCs w:val="32"/>
          <w:lang w:val="en-US" w:eastAsia="zh-CN"/>
        </w:rPr>
        <w:t xml:space="preserve"> </w:t>
      </w:r>
      <w:r>
        <w:rPr>
          <w:rStyle w:val="9"/>
          <w:rFonts w:hint="default" w:ascii="Times New Roman" w:hAnsi="Times New Roman" w:eastAsia="仿宋_GB2312" w:cs="Times New Roman"/>
          <w:color w:val="000000"/>
          <w:sz w:val="32"/>
          <w:szCs w:val="32"/>
          <w:lang w:val="en-US" w:eastAsia="zh-CN"/>
        </w:rPr>
        <w:t>本判定标准</w:t>
      </w:r>
      <w:r>
        <w:rPr>
          <w:rFonts w:hint="default" w:ascii="Times New Roman" w:hAnsi="Times New Roman" w:eastAsia="仿宋_GB2312" w:cs="Times New Roman"/>
          <w:sz w:val="32"/>
          <w:szCs w:val="32"/>
          <w:lang w:val="en-US" w:eastAsia="zh-CN"/>
        </w:rPr>
        <w:t>所指电力设备设施范围为</w:t>
      </w:r>
      <w:r>
        <w:rPr>
          <w:rFonts w:hint="default" w:ascii="Times New Roman" w:hAnsi="Times New Roman" w:eastAsia="仿宋_GB2312" w:cs="Times New Roman"/>
          <w:kern w:val="2"/>
          <w:sz w:val="32"/>
          <w:szCs w:val="32"/>
          <w:lang w:val="en-US" w:eastAsia="zh-CN" w:bidi="ar-SA"/>
        </w:rPr>
        <w:t>330千伏</w:t>
      </w:r>
      <w:r>
        <w:rPr>
          <w:rFonts w:hint="eastAsia" w:ascii="Times New Roman" w:hAnsi="Times New Roman" w:eastAsia="仿宋_GB2312" w:cs="Times New Roman"/>
          <w:kern w:val="2"/>
          <w:sz w:val="32"/>
          <w:szCs w:val="32"/>
          <w:lang w:val="en-US" w:eastAsia="zh-CN" w:bidi="ar-SA"/>
        </w:rPr>
        <w:t>及</w:t>
      </w:r>
      <w:r>
        <w:rPr>
          <w:rFonts w:hint="default" w:ascii="Times New Roman" w:hAnsi="Times New Roman" w:eastAsia="仿宋_GB2312" w:cs="Times New Roman"/>
          <w:kern w:val="2"/>
          <w:sz w:val="32"/>
          <w:szCs w:val="32"/>
          <w:lang w:val="en-US" w:eastAsia="zh-CN" w:bidi="ar-SA"/>
        </w:rPr>
        <w:t>以上电网设备设施</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sz w:val="32"/>
          <w:szCs w:val="32"/>
        </w:rPr>
        <w:t>单机容量300兆瓦</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以上的燃煤发电机组</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水力发电机组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单套容量200兆瓦</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以上的燃气发电机组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核电常规岛</w:t>
      </w:r>
      <w:r>
        <w:rPr>
          <w:rFonts w:hint="eastAsia" w:ascii="Times New Roman" w:hAnsi="Times New Roman" w:eastAsia="仿宋_GB2312" w:cs="Times New Roman"/>
          <w:sz w:val="32"/>
          <w:szCs w:val="32"/>
          <w:lang w:eastAsia="zh-CN"/>
        </w:rPr>
        <w:t>及核电厂配套输变电设施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容量</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00兆瓦</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以上风力发电场和</w:t>
      </w:r>
      <w:r>
        <w:rPr>
          <w:rFonts w:hint="default" w:ascii="Times New Roman" w:hAnsi="Times New Roman" w:eastAsia="仿宋_GB2312" w:cs="Times New Roman"/>
          <w:kern w:val="2"/>
          <w:sz w:val="32"/>
          <w:szCs w:val="32"/>
          <w:lang w:val="en-US" w:eastAsia="zh-CN" w:bidi="ar-SA"/>
        </w:rPr>
        <w:t>光伏发电站；所指施工作业工程为《电力建设工程施工安全管理导则》（NB/T 10096-2018）规定的超过</w:t>
      </w:r>
      <w:r>
        <w:rPr>
          <w:rFonts w:hint="default" w:ascii="Times New Roman" w:hAnsi="Times New Roman" w:eastAsia="仿宋_GB2312" w:cs="Times New Roman"/>
          <w:sz w:val="32"/>
          <w:szCs w:val="32"/>
        </w:rPr>
        <w:t>一定规模的危险性较大的分部分项工程</w:t>
      </w:r>
      <w:r>
        <w:rPr>
          <w:rStyle w:val="9"/>
          <w:rFonts w:hint="default" w:ascii="Times New Roman" w:hAnsi="Times New Roman" w:eastAsia="仿宋_GB2312" w:cs="Times New Roman"/>
          <w:color w:val="000000"/>
          <w:sz w:val="32"/>
          <w:szCs w:val="32"/>
          <w:lang w:val="en-US" w:eastAsia="zh-CN"/>
        </w:rPr>
        <w:t>。特殊情形在具体条款中另行规定。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Cs w:val="32"/>
        </w:rPr>
      </w:pPr>
      <w:bookmarkStart w:id="0" w:name="_Hlk120177911"/>
      <w:r>
        <w:rPr>
          <w:rStyle w:val="7"/>
          <w:rFonts w:hint="default" w:ascii="Times New Roman" w:hAnsi="Times New Roman" w:eastAsia="黑体" w:cs="Times New Roman"/>
          <w:b w:val="0"/>
          <w:bCs w:val="0"/>
          <w:kern w:val="0"/>
          <w:szCs w:val="32"/>
        </w:rPr>
        <w:t>第</w:t>
      </w:r>
      <w:r>
        <w:rPr>
          <w:rStyle w:val="7"/>
          <w:rFonts w:hint="default" w:ascii="Times New Roman" w:hAnsi="Times New Roman" w:eastAsia="黑体" w:cs="Times New Roman"/>
          <w:b w:val="0"/>
          <w:bCs w:val="0"/>
          <w:kern w:val="0"/>
          <w:szCs w:val="32"/>
          <w:lang w:val="en-US" w:eastAsia="zh-CN"/>
        </w:rPr>
        <w:t>四</w:t>
      </w:r>
      <w:r>
        <w:rPr>
          <w:rStyle w:val="7"/>
          <w:rFonts w:hint="default" w:ascii="Times New Roman" w:hAnsi="Times New Roman" w:eastAsia="黑体" w:cs="Times New Roman"/>
          <w:b w:val="0"/>
          <w:bCs w:val="0"/>
          <w:kern w:val="0"/>
          <w:szCs w:val="32"/>
        </w:rPr>
        <w:t xml:space="preserve">条  </w:t>
      </w:r>
      <w:bookmarkEnd w:id="0"/>
      <w:r>
        <w:rPr>
          <w:rFonts w:hint="default" w:ascii="Times New Roman" w:hAnsi="Times New Roman" w:eastAsia="仿宋_GB2312" w:cs="Times New Roman"/>
          <w:szCs w:val="32"/>
        </w:rPr>
        <w:t>有下列情形之一的，应判定为重大隐患：</w:t>
      </w:r>
    </w:p>
    <w:p>
      <w:pPr>
        <w:pStyle w:val="2"/>
        <w:rPr>
          <w:rFonts w:ascii="Times New Roman" w:hAnsi="Times New Roman" w:cs="Times New Roman"/>
        </w:rPr>
      </w:pPr>
      <w:r>
        <w:rPr>
          <w:rFonts w:hint="default" w:ascii="Times New Roman" w:hAnsi="Times New Roman" w:cs="Times New Roman"/>
        </w:rPr>
        <w:t>电网安全稳定控制系统以及直流控制保护系统参数、策略、定值计算和设定不正确；直流控保、直流配套安全稳定控制装置未按双重化配置。</w:t>
      </w:r>
    </w:p>
    <w:p>
      <w:pPr>
        <w:pStyle w:val="2"/>
        <w:rPr>
          <w:rFonts w:ascii="Times New Roman" w:hAnsi="Times New Roman" w:cs="Times New Roman"/>
        </w:rPr>
      </w:pPr>
      <w:r>
        <w:rPr>
          <w:rFonts w:hint="default" w:ascii="Times New Roman" w:hAnsi="Times New Roman" w:cs="Times New Roman"/>
          <w:lang w:val="en-US" w:eastAsia="zh-CN"/>
        </w:rPr>
        <w:t>特高压</w:t>
      </w:r>
      <w:r>
        <w:rPr>
          <w:rFonts w:hint="default" w:ascii="Times New Roman" w:hAnsi="Times New Roman" w:cs="Times New Roman"/>
        </w:rPr>
        <w:t>架空线路杆塔基础出现较大沉陷、严重开裂</w:t>
      </w:r>
      <w:r>
        <w:rPr>
          <w:rFonts w:hint="default" w:ascii="Times New Roman" w:hAnsi="Times New Roman" w:cs="Times New Roman"/>
          <w:lang w:val="en-US" w:eastAsia="zh-CN"/>
        </w:rPr>
        <w:t>或</w:t>
      </w:r>
      <w:r>
        <w:rPr>
          <w:rFonts w:hint="default" w:ascii="Times New Roman" w:hAnsi="Times New Roman" w:cs="Times New Roman"/>
        </w:rPr>
        <w:t>显著上拔，塔身出现严重弯曲形变，导地线出现严重损伤、断股和腐蚀。</w:t>
      </w:r>
    </w:p>
    <w:p>
      <w:pPr>
        <w:pStyle w:val="2"/>
        <w:rPr>
          <w:rFonts w:ascii="Times New Roman" w:hAnsi="Times New Roman" w:cs="Times New Roman"/>
        </w:rPr>
      </w:pPr>
      <w:r>
        <w:rPr>
          <w:rFonts w:hint="default" w:ascii="Times New Roman" w:hAnsi="Times New Roman" w:cs="Times New Roman"/>
          <w:lang w:val="en-US" w:eastAsia="zh-CN"/>
        </w:rPr>
        <w:t>特高压</w:t>
      </w:r>
      <w:r>
        <w:rPr>
          <w:rFonts w:hint="default" w:ascii="Times New Roman" w:hAnsi="Times New Roman" w:cs="Times New Roman"/>
        </w:rPr>
        <w:t>变压器（换流变）乙炔、总烃等特征气体明显增高，内部存在严重局部放电，绝缘电阻和介损试验数据严重超标。</w:t>
      </w:r>
    </w:p>
    <w:p>
      <w:pPr>
        <w:pStyle w:val="2"/>
        <w:rPr>
          <w:rFonts w:ascii="Times New Roman" w:hAnsi="Times New Roman" w:cs="Times New Roman"/>
        </w:rPr>
      </w:pPr>
      <w:r>
        <w:rPr>
          <w:rFonts w:hint="default" w:ascii="Times New Roman" w:hAnsi="Times New Roman" w:cs="Times New Roman"/>
        </w:rPr>
        <w:t>燃煤锅炉烟风道、除尘器、脱硝催化剂装置、渣仓、粉仓料斗（含灰斗）、输煤栈桥等重点设备设施的钢结构、支吊架、</w:t>
      </w:r>
      <w:r>
        <w:rPr>
          <w:rFonts w:hint="default" w:ascii="Times New Roman" w:hAnsi="Times New Roman" w:cs="Times New Roman"/>
          <w:lang w:val="en-US" w:eastAsia="zh-CN"/>
        </w:rPr>
        <w:t>承重</w:t>
      </w:r>
      <w:r>
        <w:rPr>
          <w:rFonts w:hint="default" w:ascii="Times New Roman" w:hAnsi="Times New Roman" w:cs="Times New Roman"/>
        </w:rPr>
        <w:t>焊接部位</w:t>
      </w:r>
      <w:r>
        <w:rPr>
          <w:rFonts w:hint="default" w:ascii="Times New Roman" w:hAnsi="Times New Roman" w:cs="Times New Roman"/>
          <w:lang w:val="en-US" w:eastAsia="zh-CN"/>
        </w:rPr>
        <w:t>总体强度不满足</w:t>
      </w:r>
      <w:r>
        <w:rPr>
          <w:rFonts w:hint="default" w:ascii="Times New Roman" w:hAnsi="Times New Roman" w:cs="Times New Roman"/>
        </w:rPr>
        <w:t>结构强度</w:t>
      </w:r>
      <w:r>
        <w:rPr>
          <w:rFonts w:hint="default" w:ascii="Times New Roman" w:hAnsi="Times New Roman" w:cs="Times New Roman"/>
          <w:lang w:val="en-US" w:eastAsia="zh-CN"/>
        </w:rPr>
        <w:t>要求。</w:t>
      </w:r>
    </w:p>
    <w:p>
      <w:pPr>
        <w:pStyle w:val="2"/>
        <w:rPr>
          <w:rFonts w:ascii="Times New Roman" w:hAnsi="Times New Roman" w:cs="Times New Roman"/>
        </w:rPr>
      </w:pPr>
      <w:r>
        <w:rPr>
          <w:rFonts w:hint="default" w:ascii="Times New Roman" w:hAnsi="Times New Roman" w:cs="Times New Roman"/>
        </w:rPr>
        <w:t>电力监</w:t>
      </w:r>
      <w:r>
        <w:rPr>
          <w:rFonts w:hint="default" w:ascii="Times New Roman" w:hAnsi="Times New Roman" w:cs="Times New Roman"/>
          <w:color w:val="auto"/>
        </w:rPr>
        <w:t>控系统</w:t>
      </w:r>
      <w:r>
        <w:rPr>
          <w:rFonts w:hint="default" w:ascii="Times New Roman" w:hAnsi="Times New Roman" w:eastAsia="仿宋_GB2312" w:cs="Times New Roman"/>
          <w:i w:val="0"/>
          <w:iCs w:val="0"/>
          <w:color w:val="auto"/>
          <w:kern w:val="2"/>
          <w:sz w:val="32"/>
          <w:szCs w:val="32"/>
          <w:u w:val="none"/>
          <w:lang w:val="en-US" w:eastAsia="zh-CN" w:bidi="ar"/>
        </w:rPr>
        <w:t>横向边界未部署专用隔离装置，或者调度数据网纵向边界未部署电力专用纵向加密认证装置，或生产控制大区非法外联</w:t>
      </w:r>
      <w:r>
        <w:rPr>
          <w:rFonts w:hint="default" w:ascii="Times New Roman" w:hAnsi="Times New Roman" w:cs="Times New Roman"/>
          <w:i w:val="0"/>
          <w:iCs w:val="0"/>
          <w:kern w:val="2"/>
          <w:sz w:val="32"/>
          <w:szCs w:val="32"/>
          <w:u w:val="none"/>
          <w:lang w:val="en-US" w:eastAsia="zh-CN" w:bidi="ar"/>
        </w:rPr>
        <w:t>。</w:t>
      </w:r>
    </w:p>
    <w:p>
      <w:pPr>
        <w:pStyle w:val="2"/>
        <w:rPr>
          <w:rFonts w:ascii="Times New Roman" w:hAnsi="Times New Roman" w:cs="Times New Roman"/>
        </w:rPr>
      </w:pPr>
      <w:r>
        <w:rPr>
          <w:rFonts w:hint="default" w:ascii="Times New Roman" w:hAnsi="Times New Roman" w:cs="Times New Roman"/>
        </w:rPr>
        <w:t>《水电站大坝工程隐患治理监督管理办法》</w:t>
      </w:r>
      <w:r>
        <w:rPr>
          <w:rFonts w:hint="default" w:ascii="Times New Roman" w:hAnsi="Times New Roman" w:cs="Times New Roman"/>
          <w:lang w:val="en-US" w:eastAsia="zh-CN"/>
        </w:rPr>
        <w:t>中规定的</w:t>
      </w:r>
      <w:r>
        <w:rPr>
          <w:rFonts w:ascii="Times New Roman" w:hAnsi="Times New Roman" w:eastAsia="仿宋_GB2312" w:cs="Times New Roman"/>
          <w:kern w:val="0"/>
          <w:sz w:val="32"/>
          <w:szCs w:val="32"/>
        </w:rPr>
        <w:t>大坝特别重大</w:t>
      </w:r>
      <w:r>
        <w:rPr>
          <w:rFonts w:hint="default" w:ascii="Times New Roman" w:hAnsi="Times New Roman" w:cs="Times New Roman"/>
          <w:kern w:val="0"/>
          <w:sz w:val="32"/>
          <w:szCs w:val="32"/>
          <w:lang w:eastAsia="zh-CN"/>
        </w:rPr>
        <w:t>、</w:t>
      </w:r>
      <w:r>
        <w:rPr>
          <w:rFonts w:hint="default" w:ascii="Times New Roman" w:hAnsi="Times New Roman" w:cs="Times New Roman"/>
          <w:kern w:val="0"/>
          <w:sz w:val="32"/>
          <w:szCs w:val="32"/>
          <w:lang w:val="en-US" w:eastAsia="zh-CN"/>
        </w:rPr>
        <w:t>重大</w:t>
      </w:r>
      <w:r>
        <w:rPr>
          <w:rFonts w:ascii="Times New Roman" w:hAnsi="Times New Roman" w:eastAsia="仿宋_GB2312" w:cs="Times New Roman"/>
          <w:kern w:val="0"/>
          <w:sz w:val="32"/>
          <w:szCs w:val="32"/>
        </w:rPr>
        <w:t>工程隐患</w:t>
      </w:r>
      <w:r>
        <w:rPr>
          <w:rFonts w:hint="default" w:ascii="Times New Roman" w:hAnsi="Times New Roman" w:cs="Times New Roman"/>
        </w:rPr>
        <w:t>；燃煤发电厂贮灰场大坝未开展安全评估</w:t>
      </w:r>
      <w:r>
        <w:rPr>
          <w:rFonts w:hint="eastAsia" w:ascii="Times New Roman" w:hAnsi="Times New Roman" w:cs="Times New Roman"/>
          <w:lang w:eastAsia="zh-CN"/>
        </w:rPr>
        <w:t>，</w:t>
      </w:r>
      <w:r>
        <w:rPr>
          <w:rFonts w:hint="default" w:ascii="Times New Roman" w:hAnsi="Times New Roman" w:cs="Times New Roman"/>
        </w:rPr>
        <w:t>贮灰场安全等级评定为险态灰场。</w:t>
      </w:r>
    </w:p>
    <w:p>
      <w:pPr>
        <w:pStyle w:val="2"/>
        <w:rPr>
          <w:rFonts w:ascii="Times New Roman" w:hAnsi="Times New Roman" w:eastAsia="仿宋_GB2312" w:cs="Times New Roman"/>
          <w:sz w:val="32"/>
          <w:szCs w:val="32"/>
        </w:rPr>
      </w:pPr>
      <w:r>
        <w:rPr>
          <w:rFonts w:hint="default" w:ascii="Times New Roman" w:hAnsi="Times New Roman" w:cs="Times New Roman"/>
        </w:rPr>
        <w:t>建设单位将建设项目发包给不具备安全生产条件或相应资质施工企业，所</w:t>
      </w:r>
      <w:r>
        <w:rPr>
          <w:rFonts w:hint="default" w:ascii="Times New Roman" w:hAnsi="Times New Roman" w:cs="Times New Roman"/>
          <w:lang w:eastAsia="zh-CN"/>
        </w:rPr>
        <w:t>属</w:t>
      </w:r>
      <w:r>
        <w:rPr>
          <w:rFonts w:hint="default" w:ascii="Times New Roman" w:hAnsi="Times New Roman" w:cs="Times New Roman"/>
        </w:rPr>
        <w:t>工程专项施工方案未按规定开展编、审、批</w:t>
      </w:r>
      <w:r>
        <w:rPr>
          <w:rFonts w:hint="default" w:ascii="Times New Roman" w:hAnsi="Times New Roman" w:cs="Times New Roman"/>
          <w:lang w:eastAsia="zh-CN"/>
        </w:rPr>
        <w:t>或专家论证</w:t>
      </w:r>
      <w:r>
        <w:rPr>
          <w:rFonts w:hint="default" w:ascii="Times New Roman" w:hAnsi="Times New Roman" w:cs="Times New Roman"/>
        </w:rPr>
        <w:t>，</w:t>
      </w:r>
      <w:r>
        <w:rPr>
          <w:rFonts w:hint="default" w:ascii="Times New Roman" w:hAnsi="Times New Roman" w:cs="Times New Roman"/>
          <w:lang w:eastAsia="zh-CN"/>
        </w:rPr>
        <w:t>开展</w:t>
      </w:r>
      <w:r>
        <w:rPr>
          <w:rFonts w:hint="default" w:ascii="Times New Roman" w:hAnsi="Times New Roman" w:cs="Times New Roman"/>
        </w:rPr>
        <w:t>爆破、吊装、有限空间等危险作业未履行施工作业许可审批手续或无人监护</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Style w:val="7"/>
          <w:rFonts w:hint="default" w:ascii="Times New Roman" w:hAnsi="Times New Roman" w:eastAsia="黑体" w:cs="Times New Roman"/>
          <w:b w:val="0"/>
          <w:bCs w:val="0"/>
          <w:kern w:val="0"/>
          <w:sz w:val="32"/>
          <w:szCs w:val="32"/>
        </w:rPr>
        <w:t>第</w:t>
      </w:r>
      <w:r>
        <w:rPr>
          <w:rStyle w:val="7"/>
          <w:rFonts w:hint="default" w:ascii="Times New Roman" w:hAnsi="Times New Roman" w:eastAsia="黑体" w:cs="Times New Roman"/>
          <w:b w:val="0"/>
          <w:bCs w:val="0"/>
          <w:kern w:val="0"/>
          <w:sz w:val="32"/>
          <w:szCs w:val="32"/>
          <w:lang w:eastAsia="zh-CN"/>
        </w:rPr>
        <w:t>五</w:t>
      </w:r>
      <w:r>
        <w:rPr>
          <w:rStyle w:val="7"/>
          <w:rFonts w:hint="default" w:ascii="Times New Roman" w:hAnsi="Times New Roman" w:eastAsia="黑体" w:cs="Times New Roman"/>
          <w:b w:val="0"/>
          <w:bCs w:val="0"/>
          <w:kern w:val="0"/>
          <w:sz w:val="32"/>
          <w:szCs w:val="32"/>
        </w:rPr>
        <w:t xml:space="preserve">条  </w:t>
      </w:r>
      <w:r>
        <w:rPr>
          <w:rFonts w:hint="default" w:ascii="Times New Roman" w:hAnsi="Times New Roman" w:eastAsia="仿宋_GB2312" w:cs="Times New Roman"/>
          <w:b w:val="0"/>
          <w:bCs w:val="0"/>
          <w:kern w:val="2"/>
          <w:sz w:val="32"/>
          <w:szCs w:val="32"/>
          <w:lang w:val="en-US" w:eastAsia="zh-CN"/>
        </w:rPr>
        <w:t>对</w:t>
      </w:r>
      <w:r>
        <w:rPr>
          <w:rFonts w:hint="default" w:ascii="Times New Roman" w:hAnsi="Times New Roman" w:eastAsia="仿宋_GB2312" w:cs="Times New Roman"/>
          <w:sz w:val="32"/>
          <w:szCs w:val="32"/>
        </w:rPr>
        <w:t>其他严重违反电力安全生产法律法规、规章、政策文件和强制性标准，</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可能导致群死群伤或造成重大经济损失</w:t>
      </w:r>
      <w:r>
        <w:rPr>
          <w:rFonts w:hint="default" w:ascii="Times New Roman" w:hAnsi="Times New Roman" w:eastAsia="仿宋_GB2312" w:cs="Times New Roman"/>
          <w:sz w:val="32"/>
          <w:szCs w:val="32"/>
          <w:lang w:val="en-US" w:eastAsia="zh-CN"/>
        </w:rPr>
        <w:t>或造成严重社会影响</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隐患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有关单位可参照重大隐患监督管理</w:t>
      </w:r>
      <w:r>
        <w:rPr>
          <w:rFonts w:hint="default" w:ascii="Times New Roman" w:hAnsi="Times New Roman" w:eastAsia="仿宋_GB2312" w:cs="Times New Roman"/>
          <w:sz w:val="32"/>
          <w:szCs w:val="32"/>
        </w:rPr>
        <w:t>。</w:t>
      </w:r>
    </w:p>
    <w:p>
      <w:pPr>
        <w:keepNext w:val="0"/>
        <w:keepLines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Style w:val="7"/>
          <w:rFonts w:hint="default" w:ascii="Times New Roman" w:hAnsi="Times New Roman" w:eastAsia="黑体" w:cs="Times New Roman"/>
          <w:b w:val="0"/>
          <w:bCs w:val="0"/>
          <w:kern w:val="0"/>
          <w:sz w:val="32"/>
          <w:szCs w:val="32"/>
        </w:rPr>
        <w:t>第</w:t>
      </w:r>
      <w:r>
        <w:rPr>
          <w:rStyle w:val="7"/>
          <w:rFonts w:hint="default" w:ascii="Times New Roman" w:hAnsi="Times New Roman" w:eastAsia="黑体" w:cs="Times New Roman"/>
          <w:b w:val="0"/>
          <w:bCs w:val="0"/>
          <w:kern w:val="0"/>
          <w:sz w:val="32"/>
          <w:szCs w:val="32"/>
          <w:lang w:val="en-US" w:eastAsia="zh-CN"/>
        </w:rPr>
        <w:t>六</w:t>
      </w:r>
      <w:r>
        <w:rPr>
          <w:rStyle w:val="7"/>
          <w:rFonts w:hint="default" w:ascii="Times New Roman" w:hAnsi="Times New Roman" w:eastAsia="黑体" w:cs="Times New Roman"/>
          <w:b w:val="0"/>
          <w:bCs w:val="0"/>
          <w:kern w:val="0"/>
          <w:sz w:val="32"/>
          <w:szCs w:val="32"/>
        </w:rPr>
        <w:t xml:space="preserve">条  </w:t>
      </w:r>
      <w:r>
        <w:rPr>
          <w:rStyle w:val="7"/>
          <w:rFonts w:hint="default" w:ascii="Times New Roman" w:hAnsi="Times New Roman" w:eastAsia="仿宋_GB2312" w:cs="Times New Roman"/>
          <w:b w:val="0"/>
          <w:bCs w:val="0"/>
          <w:kern w:val="2"/>
          <w:sz w:val="32"/>
          <w:szCs w:val="32"/>
          <w:lang w:val="en-US" w:eastAsia="zh-CN"/>
        </w:rPr>
        <w:t>本判定标准由国家能源局负责解释</w:t>
      </w:r>
      <w:r>
        <w:rPr>
          <w:rFonts w:hint="default" w:ascii="Times New Roman" w:hAnsi="Times New Roman" w:eastAsia="仿宋_GB2312" w:cs="Times New Roman"/>
          <w:sz w:val="32"/>
          <w:szCs w:val="32"/>
        </w:rPr>
        <w:t>。</w:t>
      </w:r>
    </w:p>
    <w:p>
      <w:pPr>
        <w:ind w:left="0" w:leftChars="0" w:firstLine="0" w:firstLineChars="0"/>
        <w:rPr>
          <w:rFonts w:hint="default" w:ascii="Times New Roman" w:hAnsi="Times New Roman" w:eastAsia="仿宋_GB2312" w:cs="Times New Roman"/>
          <w:sz w:val="32"/>
          <w:szCs w:val="32"/>
          <w:lang w:val="en-US" w:eastAsia="zh-CN"/>
        </w:rPr>
      </w:pPr>
    </w:p>
    <w:p/>
    <w:sectPr>
      <w:headerReference r:id="rId5" w:type="default"/>
      <w:footerReference r:id="rId6" w:type="default"/>
      <w:pgSz w:w="11906" w:h="16838"/>
      <w:pgMar w:top="2098" w:right="1474" w:bottom="1984"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eastAsia="仿宋_GB2312"/>
        <w:sz w:val="24"/>
        <w:szCs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jc w:val="center"/>
                            <w:rPr>
                              <w:rFonts w:hint="eastAsia" w:eastAsia="仿宋_GB2312"/>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pPr>
                      <w:pStyle w:val="4"/>
                      <w:jc w:val="center"/>
                      <w:rPr>
                        <w:rFonts w:hint="eastAsia" w:eastAsia="仿宋_GB2312"/>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5515610</wp:posOffset>
              </wp:positionH>
              <wp:positionV relativeFrom="page">
                <wp:posOffset>1016000</wp:posOffset>
              </wp:positionV>
              <wp:extent cx="1212850" cy="103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12850" cy="103505"/>
                      </a:xfrm>
                      <a:prstGeom prst="rect">
                        <a:avLst/>
                      </a:prstGeom>
                      <a:noFill/>
                      <a:ln>
                        <a:noFill/>
                      </a:ln>
                      <a:effectLst/>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left:434.3pt;margin-top:80pt;height:8.15pt;width:95.5pt;mso-position-horizontal-relative:page;mso-position-vertical-relative:page;mso-wrap-style:none;z-index:-251657216;mso-width-relative:page;mso-height-relative:page;" filled="f" stroked="f" coordsize="21600,21600" o:gfxdata="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P4huj1gAAAAwBAAAPAAAAAAAAAAEAIAAAACIAAABkcnMvZG93&#10;bnJldi54bWxQSwECFAAUAAAACACHTuJAhF4pMskBAACaAwAADgAAAAAAAAABACAAAAAlAQAAZHJz&#10;L2Uyb0RvYy54bWxQSwUGAAAAAAYABgBZAQAAYAUAAAAA&#10;">
              <v:path/>
              <v:fill on="f" focussize="0,0"/>
              <v:stroke on="f"/>
              <v:imagedata o:title=""/>
              <o:lock v:ext="edit" aspectratio="f"/>
              <v:textbox inset="0mm,0mm,0mm,0mm" style="mso-fit-shape-to-text:t;">
                <w:txbxContent>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B3061"/>
    <w:multiLevelType w:val="multilevel"/>
    <w:tmpl w:val="DB7B3061"/>
    <w:lvl w:ilvl="0" w:tentative="0">
      <w:start w:val="1"/>
      <w:numFmt w:val="chineseCounting"/>
      <w:suff w:val="nothing"/>
      <w:lvlText w:val="（%1）"/>
      <w:lvlJc w:val="left"/>
      <w:pPr>
        <w:tabs>
          <w:tab w:val="left" w:pos="0"/>
        </w:tabs>
        <w:ind w:left="0" w:firstLine="400"/>
      </w:pPr>
      <w:rPr>
        <w:rFonts w:hint="eastAsia"/>
      </w:rPr>
    </w:lvl>
    <w:lvl w:ilvl="1" w:tentative="0">
      <w:start w:val="1"/>
      <w:numFmt w:val="decimal"/>
      <w:suff w:val="nothing"/>
      <w:lvlText w:val="%2．"/>
      <w:lvlJc w:val="left"/>
      <w:pPr>
        <w:ind w:left="0" w:firstLine="400"/>
      </w:pPr>
      <w:rPr>
        <w:rFonts w:hint="eastAsia" w:ascii="宋体" w:hAnsi="宋体" w:eastAsia="宋体" w:cs="宋体"/>
      </w:rPr>
    </w:lvl>
    <w:lvl w:ilvl="2" w:tentative="0">
      <w:start w:val="1"/>
      <w:numFmt w:val="chineseCounting"/>
      <w:pStyle w:val="2"/>
      <w:suff w:val="nothing"/>
      <w:lvlText w:val="（%3）"/>
      <w:lvlJc w:val="left"/>
      <w:pPr>
        <w:tabs>
          <w:tab w:val="left" w:pos="0"/>
        </w:tabs>
        <w:ind w:left="0" w:firstLine="40"/>
      </w:pPr>
      <w:rPr>
        <w:rFonts w:hint="eastAsia" w:ascii="宋体" w:hAnsi="宋体" w:eastAsia="仿宋_GB2312" w:cs="宋体"/>
        <w:sz w:val="32"/>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ZmUyMzM2ZTY2MjQyYzY5N2RlZjdlNDRkYzViODUifQ=="/>
    <w:docVar w:name="KSO_WPS_MARK_KEY" w:val="02b7f120-2ad1-43ed-8c95-544d7cf19dee"/>
  </w:docVars>
  <w:rsids>
    <w:rsidRoot w:val="00000000"/>
    <w:rsid w:val="7F202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8" w:lineRule="exact"/>
      <w:ind w:firstLine="640" w:firstLineChars="200"/>
      <w:jc w:val="both"/>
    </w:pPr>
    <w:rPr>
      <w:rFonts w:ascii="Times New Roman" w:hAnsi="Times New Roman" w:eastAsia="仿宋" w:cs="Times New Roman"/>
      <w:kern w:val="2"/>
      <w:sz w:val="32"/>
      <w:szCs w:val="24"/>
      <w:lang w:val="en-US" w:eastAsia="zh-CN" w:bidi="ar-SA"/>
    </w:rPr>
  </w:style>
  <w:style w:type="paragraph" w:styleId="2">
    <w:name w:val="heading 3"/>
    <w:basedOn w:val="3"/>
    <w:next w:val="1"/>
    <w:unhideWhenUsed/>
    <w:qFormat/>
    <w:uiPriority w:val="0"/>
    <w:pPr>
      <w:keepNext w:val="0"/>
      <w:keepLines w:val="0"/>
      <w:numPr>
        <w:ilvl w:val="2"/>
        <w:numId w:val="1"/>
      </w:numPr>
      <w:spacing w:beforeLines="0" w:beforeAutospacing="0" w:afterLines="0" w:afterAutospacing="0" w:line="578" w:lineRule="exact"/>
      <w:ind w:firstLine="640" w:firstLineChars="200"/>
      <w:outlineLvl w:val="2"/>
    </w:pPr>
    <w:rPr>
      <w:rFonts w:hAnsi="仿宋_GB2312" w:eastAsia="仿宋_GB231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3">
    <w:name w:val="正文格式"/>
    <w:basedOn w:val="1"/>
    <w:qFormat/>
    <w:uiPriority w:val="0"/>
    <w:pPr>
      <w:spacing w:line="580" w:lineRule="exact"/>
      <w:ind w:firstLine="640" w:firstLineChars="200"/>
    </w:pPr>
    <w:rPr>
      <w:rFonts w:ascii="仿宋_GB2312" w:hAnsi="宋体"/>
    </w:rPr>
  </w:style>
  <w:style w:type="paragraph" w:styleId="4">
    <w:name w:val="footer"/>
    <w:basedOn w:val="1"/>
    <w:qFormat/>
    <w:uiPriority w:val="0"/>
    <w:pPr>
      <w:tabs>
        <w:tab w:val="center" w:pos="4153"/>
        <w:tab w:val="right" w:pos="8306"/>
      </w:tabs>
      <w:snapToGrid w:val="0"/>
      <w:jc w:val="left"/>
    </w:pPr>
    <w:rPr>
      <w:sz w:val="18"/>
    </w:rPr>
  </w:style>
  <w:style w:type="character" w:styleId="7">
    <w:name w:val="Strong"/>
    <w:qFormat/>
    <w:uiPriority w:val="0"/>
    <w:rPr>
      <w:b/>
      <w:bCs/>
    </w:rPr>
  </w:style>
  <w:style w:type="paragraph" w:styleId="8">
    <w:name w:val="List Paragraph"/>
    <w:basedOn w:val="1"/>
    <w:qFormat/>
    <w:uiPriority w:val="34"/>
    <w:pPr>
      <w:ind w:firstLine="420" w:firstLineChars="200"/>
    </w:pPr>
  </w:style>
  <w:style w:type="character" w:customStyle="1" w:styleId="9">
    <w:name w:val="text-tag"/>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982</Words>
  <Characters>1002</Characters>
  <Lines>0</Lines>
  <Paragraphs>0</Paragraphs>
  <TotalTime>0</TotalTime>
  <ScaleCrop>false</ScaleCrop>
  <LinksUpToDate>false</LinksUpToDate>
  <CharactersWithSpaces>1015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2023-01-18T02:37:12Z</dcterms:created>
  <dc:creator>user</dc:creator>
  <cp:lastModifiedBy>小笨</cp:lastModifiedBy>
  <dcterms:modified xsi:type="dcterms:W3CDTF">2023-01-18T02:37:27Z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CD81FCB5A6CA431B96CA7D881325F8D8</vt:lpwstr>
  </property>
</Properties>
</file>