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4"/>
        <w:tblpPr w:leftFromText="180" w:rightFromText="180" w:vertAnchor="text" w:horzAnchor="page" w:tblpX="1568" w:tblpY="291"/>
        <w:tblOverlap w:val="never"/>
        <w:tblW w:w="0" w:type="auto"/>
        <w:tblInd w:w="0" w:type="dxa"/>
        <w:tblLayout w:type="fixed"/>
        <w:tblCellMar>
          <w:top w:w="0" w:type="dxa"/>
          <w:left w:w="108" w:type="dxa"/>
          <w:bottom w:w="0" w:type="dxa"/>
          <w:right w:w="108" w:type="dxa"/>
        </w:tblCellMar>
      </w:tblPr>
      <w:tblGrid>
        <w:gridCol w:w="1543"/>
        <w:gridCol w:w="1543"/>
        <w:gridCol w:w="1543"/>
        <w:gridCol w:w="1544"/>
        <w:gridCol w:w="1544"/>
        <w:gridCol w:w="1544"/>
        <w:gridCol w:w="1544"/>
        <w:gridCol w:w="1544"/>
        <w:gridCol w:w="1551"/>
      </w:tblGrid>
      <w:tr>
        <w:tblPrEx>
          <w:tblCellMar>
            <w:top w:w="0" w:type="dxa"/>
            <w:left w:w="108" w:type="dxa"/>
            <w:bottom w:w="0" w:type="dxa"/>
            <w:right w:w="108" w:type="dxa"/>
          </w:tblCellMar>
        </w:tblPrEx>
        <w:trPr>
          <w:trHeight w:val="1887" w:hRule="atLeast"/>
        </w:trPr>
        <w:tc>
          <w:tcPr>
            <w:tcW w:w="13900" w:type="dxa"/>
            <w:gridSpan w:val="9"/>
            <w:tcBorders>
              <w:top w:val="nil"/>
              <w:left w:val="nil"/>
              <w:bottom w:val="nil"/>
              <w:right w:val="nil"/>
            </w:tcBorders>
            <w:noWrap w:val="0"/>
            <w:vAlign w:val="center"/>
          </w:tcPr>
          <w:p>
            <w:pPr>
              <w:widowControl/>
              <w:ind w:left="4743" w:leftChars="1000" w:hanging="2643" w:hangingChars="600"/>
              <w:rPr>
                <w:rFonts w:ascii="华文中宋" w:hAnsi="华文中宋" w:eastAsia="华文中宋" w:cs="宋体"/>
                <w:b/>
                <w:bCs/>
                <w:color w:val="000000"/>
                <w:kern w:val="0"/>
                <w:sz w:val="44"/>
                <w:szCs w:val="44"/>
              </w:rPr>
            </w:pPr>
            <w:r>
              <w:rPr>
                <w:rFonts w:hint="eastAsia" w:ascii="华文中宋" w:hAnsi="华文中宋" w:eastAsia="华文中宋" w:cs="宋体"/>
                <w:b/>
                <w:bCs/>
                <w:color w:val="000000"/>
                <w:kern w:val="0"/>
                <w:sz w:val="44"/>
                <w:szCs w:val="44"/>
              </w:rPr>
              <w:t>2023年工程建设规范标准编制及相关工作计划</w:t>
            </w:r>
            <w:r>
              <w:rPr>
                <w:rFonts w:hint="eastAsia" w:ascii="华文中宋" w:hAnsi="华文中宋" w:eastAsia="华文中宋" w:cs="宋体"/>
                <w:b/>
                <w:bCs/>
                <w:color w:val="000000"/>
                <w:kern w:val="0"/>
                <w:sz w:val="44"/>
                <w:szCs w:val="44"/>
              </w:rPr>
              <w:br w:type="textWrapping"/>
            </w:r>
            <w:r>
              <w:rPr>
                <w:rFonts w:hint="eastAsia" w:ascii="华文中宋" w:hAnsi="华文中宋" w:eastAsia="华文中宋" w:cs="宋体"/>
                <w:b/>
                <w:bCs/>
                <w:color w:val="000000"/>
                <w:kern w:val="0"/>
                <w:sz w:val="44"/>
                <w:szCs w:val="44"/>
              </w:rPr>
              <w:t>（征求意见稿）</w:t>
            </w:r>
          </w:p>
        </w:tc>
      </w:tr>
      <w:tr>
        <w:tblPrEx>
          <w:tblCellMar>
            <w:top w:w="0" w:type="dxa"/>
            <w:left w:w="108" w:type="dxa"/>
            <w:bottom w:w="0" w:type="dxa"/>
            <w:right w:w="108" w:type="dxa"/>
          </w:tblCellMar>
        </w:tblPrEx>
        <w:trPr>
          <w:trHeight w:val="943" w:hRule="atLeast"/>
        </w:trPr>
        <w:tc>
          <w:tcPr>
            <w:tcW w:w="1543" w:type="dxa"/>
            <w:tcBorders>
              <w:top w:val="nil"/>
              <w:left w:val="nil"/>
              <w:bottom w:val="nil"/>
              <w:right w:val="nil"/>
            </w:tcBorders>
            <w:noWrap w:val="0"/>
            <w:vAlign w:val="bottom"/>
          </w:tcPr>
          <w:p>
            <w:pPr>
              <w:widowControl/>
              <w:jc w:val="center"/>
              <w:rPr>
                <w:rFonts w:ascii="华文中宋" w:hAnsi="华文中宋" w:eastAsia="华文中宋" w:cs="宋体"/>
                <w:b/>
                <w:bCs/>
                <w:color w:val="000000"/>
                <w:kern w:val="0"/>
                <w:sz w:val="44"/>
                <w:szCs w:val="44"/>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center"/>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center"/>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4" w:hRule="atLeast"/>
        </w:trPr>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center"/>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center"/>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4" w:hRule="atLeast"/>
        </w:trPr>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center"/>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center"/>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4" w:hRule="atLeast"/>
        </w:trPr>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center"/>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center"/>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4" w:hRule="atLeast"/>
        </w:trPr>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center"/>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center"/>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4" w:hRule="atLeast"/>
        </w:trPr>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center"/>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center"/>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4" w:hRule="atLeast"/>
        </w:trPr>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center"/>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center"/>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4" w:hRule="atLeast"/>
        </w:trPr>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center"/>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center"/>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4" w:hRule="atLeast"/>
        </w:trPr>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center"/>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center"/>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4" w:hRule="atLeast"/>
        </w:trPr>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center"/>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center"/>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4" w:hRule="atLeast"/>
        </w:trPr>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center"/>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center"/>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4" w:hRule="atLeast"/>
        </w:trPr>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3"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center"/>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center"/>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44"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nil"/>
            </w:tcBorders>
            <w:noWrap w:val="0"/>
            <w:vAlign w:val="bottom"/>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629" w:hRule="atLeast"/>
        </w:trPr>
        <w:tc>
          <w:tcPr>
            <w:tcW w:w="13900" w:type="dxa"/>
            <w:gridSpan w:val="9"/>
            <w:tcBorders>
              <w:top w:val="nil"/>
              <w:left w:val="nil"/>
              <w:bottom w:val="nil"/>
              <w:right w:val="nil"/>
            </w:tcBorders>
            <w:noWrap w:val="0"/>
            <w:vAlign w:val="center"/>
          </w:tcPr>
          <w:p>
            <w:pPr>
              <w:widowControl/>
              <w:ind w:firstLine="3855" w:firstLineChars="1200"/>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中华人民共和国住房和城乡建设部</w:t>
            </w:r>
          </w:p>
        </w:tc>
      </w:tr>
      <w:tr>
        <w:tblPrEx>
          <w:tblCellMar>
            <w:top w:w="0" w:type="dxa"/>
            <w:left w:w="108" w:type="dxa"/>
            <w:bottom w:w="0" w:type="dxa"/>
            <w:right w:w="108" w:type="dxa"/>
          </w:tblCellMar>
        </w:tblPrEx>
        <w:trPr>
          <w:trHeight w:val="629" w:hRule="atLeast"/>
        </w:trPr>
        <w:tc>
          <w:tcPr>
            <w:tcW w:w="13900" w:type="dxa"/>
            <w:gridSpan w:val="9"/>
            <w:tcBorders>
              <w:top w:val="nil"/>
              <w:left w:val="nil"/>
              <w:bottom w:val="nil"/>
              <w:right w:val="nil"/>
            </w:tcBorders>
            <w:noWrap w:val="0"/>
            <w:vAlign w:val="center"/>
          </w:tcPr>
          <w:p>
            <w:pPr>
              <w:widowControl/>
              <w:ind w:firstLine="5461" w:firstLineChars="1700"/>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2023年3月</w:t>
            </w:r>
          </w:p>
        </w:tc>
      </w:tr>
    </w:tbl>
    <w:p/>
    <w:p/>
    <w:tbl>
      <w:tblPr>
        <w:tblStyle w:val="4"/>
        <w:tblW w:w="0" w:type="auto"/>
        <w:tblInd w:w="0" w:type="dxa"/>
        <w:tblLayout w:type="fixed"/>
        <w:tblCellMar>
          <w:top w:w="0" w:type="dxa"/>
          <w:left w:w="108" w:type="dxa"/>
          <w:bottom w:w="0" w:type="dxa"/>
          <w:right w:w="108" w:type="dxa"/>
        </w:tblCellMar>
      </w:tblPr>
      <w:tblGrid>
        <w:gridCol w:w="709"/>
        <w:gridCol w:w="1701"/>
        <w:gridCol w:w="709"/>
        <w:gridCol w:w="4961"/>
        <w:gridCol w:w="1134"/>
        <w:gridCol w:w="1843"/>
        <w:gridCol w:w="1559"/>
        <w:gridCol w:w="1418"/>
      </w:tblGrid>
      <w:tr>
        <w:tblPrEx>
          <w:tblCellMar>
            <w:top w:w="0" w:type="dxa"/>
            <w:left w:w="108" w:type="dxa"/>
            <w:bottom w:w="0" w:type="dxa"/>
            <w:right w:w="108" w:type="dxa"/>
          </w:tblCellMar>
        </w:tblPrEx>
        <w:trPr>
          <w:trHeight w:val="820" w:hRule="atLeast"/>
          <w:tblHeader/>
        </w:trPr>
        <w:tc>
          <w:tcPr>
            <w:tcW w:w="14034" w:type="dxa"/>
            <w:gridSpan w:val="8"/>
            <w:tcBorders>
              <w:top w:val="nil"/>
              <w:left w:val="nil"/>
              <w:bottom w:val="nil"/>
              <w:right w:val="nil"/>
            </w:tcBorders>
            <w:noWrap w:val="0"/>
            <w:vAlign w:val="center"/>
          </w:tcPr>
          <w:p>
            <w:pPr>
              <w:widowControl/>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2023年工程建设规范标准编制及相关工作计划（征求意见稿）</w:t>
            </w:r>
          </w:p>
        </w:tc>
      </w:tr>
      <w:tr>
        <w:tblPrEx>
          <w:tblCellMar>
            <w:top w:w="0" w:type="dxa"/>
            <w:left w:w="108" w:type="dxa"/>
            <w:bottom w:w="0" w:type="dxa"/>
            <w:right w:w="108" w:type="dxa"/>
          </w:tblCellMar>
        </w:tblPrEx>
        <w:trPr>
          <w:trHeight w:val="559" w:hRule="atLeast"/>
          <w:tblHead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类别</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范围和主要内容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主编部门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组织单位</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起草/承担单位</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完成时间</w:t>
            </w:r>
          </w:p>
        </w:tc>
      </w:tr>
      <w:tr>
        <w:tblPrEx>
          <w:tblCellMar>
            <w:top w:w="0" w:type="dxa"/>
            <w:left w:w="108" w:type="dxa"/>
            <w:bottom w:w="0" w:type="dxa"/>
            <w:right w:w="108" w:type="dxa"/>
          </w:tblCellMar>
        </w:tblPrEx>
        <w:trPr>
          <w:trHeight w:val="559" w:hRule="atLeast"/>
        </w:trPr>
        <w:tc>
          <w:tcPr>
            <w:tcW w:w="14034"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一、工程建设强制性国家规范</w:t>
            </w:r>
          </w:p>
        </w:tc>
      </w:tr>
      <w:tr>
        <w:tblPrEx>
          <w:tblCellMar>
            <w:top w:w="0" w:type="dxa"/>
            <w:left w:w="108" w:type="dxa"/>
            <w:bottom w:w="0" w:type="dxa"/>
            <w:right w:w="108" w:type="dxa"/>
          </w:tblCellMar>
        </w:tblPrEx>
        <w:trPr>
          <w:trHeight w:val="10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防洪治涝工程项目规范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适用于防洪工程和治涝工程项目。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主要技术内容：建设规模、功能、性能、选址与布局、防洪治涝等级等目标要求，以及风险应急、风险评估、城市防洪、蓄滞洪区等方面需要强制执行的技术措施等。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中国水利水电科学研究院等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2025年6月</w:t>
            </w:r>
          </w:p>
        </w:tc>
      </w:tr>
      <w:tr>
        <w:tblPrEx>
          <w:tblCellMar>
            <w:top w:w="0" w:type="dxa"/>
            <w:left w:w="108" w:type="dxa"/>
            <w:bottom w:w="0" w:type="dxa"/>
            <w:right w:w="108" w:type="dxa"/>
          </w:tblCellMar>
        </w:tblPrEx>
        <w:trPr>
          <w:trHeight w:val="114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农业灌溉与排水工程项目规范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适用于农业灌溉与排水工程项目。</w:t>
            </w:r>
            <w:r>
              <w:rPr>
                <w:rFonts w:hint="eastAsia" w:ascii="宋体" w:hAnsi="宋体" w:eastAsia="宋体" w:cs="宋体"/>
                <w:strike/>
                <w:color w:val="000000"/>
                <w:kern w:val="0"/>
                <w:sz w:val="20"/>
                <w:szCs w:val="20"/>
              </w:rPr>
              <w:br w:type="textWrapping"/>
            </w:r>
            <w:r>
              <w:rPr>
                <w:rFonts w:ascii="宋体" w:hAnsi="宋体" w:eastAsia="宋体" w:cs="宋体"/>
                <w:color w:val="000000"/>
                <w:kern w:val="0"/>
                <w:sz w:val="20"/>
                <w:szCs w:val="20"/>
              </w:rPr>
              <w:t>主要技术内容：农业灌溉与排水工程建设规模、功能、性能、选址与布局、建设条件、运行管理等目标要求，以及工程在勘测、设计、施工、验收、运维等技术等方面需要强制执行的技术措施等。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中国水利水电科学研究院等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2025年6月</w:t>
            </w:r>
          </w:p>
        </w:tc>
      </w:tr>
      <w:tr>
        <w:tblPrEx>
          <w:tblCellMar>
            <w:top w:w="0" w:type="dxa"/>
            <w:left w:w="108" w:type="dxa"/>
            <w:bottom w:w="0" w:type="dxa"/>
            <w:right w:w="108" w:type="dxa"/>
          </w:tblCellMar>
        </w:tblPrEx>
        <w:trPr>
          <w:trHeight w:val="13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水利工程金属结构及启闭设备通用规范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适用于大中型水利工程中水工金属结构和启闭设备的选型、设计、制造、安装和验收。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主要技术内容：大中型水利工程中水工金属结构和启闭设备的共性要求，明确在选型、设计、制造、安装和验收等过程需要强制执行的技术要求等。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水利部产品质量标准研究所等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2025年6月</w:t>
            </w:r>
          </w:p>
        </w:tc>
      </w:tr>
      <w:tr>
        <w:tblPrEx>
          <w:tblCellMar>
            <w:top w:w="0" w:type="dxa"/>
            <w:left w:w="108" w:type="dxa"/>
            <w:bottom w:w="0" w:type="dxa"/>
            <w:right w:w="108" w:type="dxa"/>
          </w:tblCellMar>
        </w:tblPrEx>
        <w:trPr>
          <w:trHeight w:val="13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幼儿园项目规范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适用于幼儿园建设项目。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主要技术内容：建设规模、规划布局、项目构成、功能、性能等目标要求，以及工程项目规划、设计、施工、维护等环节需要强制执行的关键技术措施等。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教育部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2025年6月</w:t>
            </w:r>
          </w:p>
        </w:tc>
      </w:tr>
      <w:tr>
        <w:tblPrEx>
          <w:tblCellMar>
            <w:top w:w="0" w:type="dxa"/>
            <w:left w:w="108" w:type="dxa"/>
            <w:bottom w:w="0" w:type="dxa"/>
            <w:right w:w="108" w:type="dxa"/>
          </w:tblCellMar>
        </w:tblPrEx>
        <w:trPr>
          <w:trHeight w:val="13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中小学校项目规范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4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适用于中小学校建设项目。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主要技术内容：建设规模、规划布局、项目构成、功能、性能等目标要求，以及工程规划、设计、施工、运行维护等环节需要强制执行的关键技术措施等。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教育部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2025年6月</w:t>
            </w:r>
          </w:p>
        </w:tc>
      </w:tr>
      <w:tr>
        <w:tblPrEx>
          <w:tblCellMar>
            <w:top w:w="0" w:type="dxa"/>
            <w:left w:w="108" w:type="dxa"/>
            <w:bottom w:w="0" w:type="dxa"/>
            <w:right w:w="108" w:type="dxa"/>
          </w:tblCellMar>
        </w:tblPrEx>
        <w:trPr>
          <w:trHeight w:val="560" w:hRule="atLeast"/>
        </w:trPr>
        <w:tc>
          <w:tcPr>
            <w:tcW w:w="14034"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二、工程建设标准</w:t>
            </w:r>
          </w:p>
        </w:tc>
      </w:tr>
      <w:tr>
        <w:tblPrEx>
          <w:tblCellMar>
            <w:top w:w="0" w:type="dxa"/>
            <w:left w:w="108" w:type="dxa"/>
            <w:bottom w:w="0" w:type="dxa"/>
            <w:right w:w="108" w:type="dxa"/>
          </w:tblCellMar>
        </w:tblPrEx>
        <w:trPr>
          <w:trHeight w:val="560" w:hRule="atLeast"/>
        </w:trPr>
        <w:tc>
          <w:tcPr>
            <w:tcW w:w="14034"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（一）国家标准</w:t>
            </w:r>
          </w:p>
        </w:tc>
      </w:tr>
      <w:tr>
        <w:tblPrEx>
          <w:tblCellMar>
            <w:top w:w="0" w:type="dxa"/>
            <w:left w:w="108" w:type="dxa"/>
            <w:bottom w:w="0" w:type="dxa"/>
            <w:right w:w="108" w:type="dxa"/>
          </w:tblCellMar>
        </w:tblPrEx>
        <w:trPr>
          <w:trHeight w:val="72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大宗气体纯化及输送系统工程技术规范GB50724-2011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适用于电子工业新建、改建和扩建工程项目的大宗气体纯化及输送系统设计、施工及验收。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根据最新规范《建筑设计防火规范》GB50016-2014（2018）大宗气体纯化站房危险等级划分，对相关安全技术措施的条款作相应修订，保证与现行相关规范、管理办法等一致和协调，以适应新形势下的电子工厂大宗气体纯化及输送系统的设计、建设和后期安全运行管理；2.根据最新的《特种气体系统工程技术标准》GB50646-2020，对新型集成电路芯片等电子工厂大宗气体纯化后氢气输送系统常规设计方案及相应配套措施进行修改完善。</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信息产业电子第十一设计研究院科技工程股份有限公司等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电子工业纯水系统安装与验收规范GB51035-2014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适用于电子工业工程项目的新建、改建和扩建的纯水系统安装及验收。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原规范对系统特别是大系统涉及的混凝土水池防腐施工没有提及，此部分内容对系统稳定运行有较大影响，急需修改完善；2.补充水帽安装、填料、树脂安装等影响安全和质量的技术措施；3.根据原规范实施运行经验，完善管路系统压力试验内容等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21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有色金属采矿设计规范GB50771-2012</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适用于新建、改建和扩建的有色金属矿山预可行性研究、可行性研究和矿山工程建设的采矿设计。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智能矿山和绿色矿山、国外矿山建设项目的采矿设计要求；2.对高寒高海拔矿山、深井矿山等矿床开采技术条件特别复杂的采矿设计进行规范；3.根据国家环保政策，补充清洁能源利用、生态修复、碳中和，以及气、水、固废的综合利用和限制性排放等相关内容；3.根据新的《金属非金属矿山安全规程》，修订标准间不一致的内容；4.补充先进技术及经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长沙有色冶金设计研究院有限公司等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94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多晶硅工厂设计规范 GB51034-2014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适用于新建、改建和扩建多晶硅工厂的工程设计。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主要修订内容：1.多晶硅工程的规模、能耗、安全和环保相关指标；2.三氯氢硅合成、氯硅烷提纯的工艺设计部分条款；3.车间洁净等级的相关规定。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中国恩菲工程技术有限公司等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445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铝电解厂工艺设计规范GB50850-2013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适用于新建、改建和扩建的铝电解厂的工艺设计。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有：1.根据工信部2020年2月发布的《铝行业规范条件》,取消对电解槽槽型淘汰容量的限制，补充“铝电解厂开展污染物在线监测”的要求，进一步对铝电解槽的生产指标提出新的要求；2.结合铝电解厂的生产安全特点，对车间内安全通道设置、导电母线安全距离要求，设施和设备防控触电、防爆防火、防坠落，压力设备安全，网络信息安全等方面进行完善；3.修订“废渣处理及堆场”相关要求；4.在物理场模拟仿真、槽寿命研究、铝电解厂新材料应用等方面对铝电解槽设计内容提出节能措施。</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贵阳铝镁设计研究院有限公司等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283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赤泥堆场技术标准GB50986-2014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适用于干法和湿法工艺赤泥堆场的勘察、设计、施工及验收。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补充涵盖干法和湿法工艺赤泥堆场的的选址、勘察、设计、施工、运行、闭库等全生命周期的技术要求；2.增加赤泥堆场建设和安全管理运行的安全管理相关条文；3.修改赤泥堆场环保相关内容；4.补充完善细化干法赤泥堆场选址、加高扩容及监测相关内容；5.补充沿海地区赤泥堆场的特殊设计要求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贵阳铝镁设计研究院有限公司等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8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冶金矿山排土场技术标准GB51119-2015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冶金矿山排土场厂址选择、等级划分、排土场水文地质工程地质勘察、工艺设计、总体规划、安全稳定性分析及标准确定、排土场隐患治理、安全防护措施、节能减排和生态修复、安全监测、废石综合利用、排土场关闭、排土场施工与验收。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排土场堆排高度调整；2.排土场总体规划过程中安全防护距离的确定及规定；3.排土场安全标准的使用条件规定；4.排土场隐患治理的规定；5.高山型排土场设计的原则规定与标准；6.排土场监测技术要求的具体规定；7.满足国家产业政策的节能减排措施要求；8.排土场关闭的细化规定；9.排土场综合利用技术规定；10.排土场施工与验收规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中冶北方（大连）工程技术有限公司等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工业企业干式煤气柜安全技术规范GB51066-2014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适用于工业企业储存发生炉、高炉、焦炉、转炉、铁合金等人工煤气和主要可燃组分为甲烷的天然气、煤层气、矿井气等天然可燃气体，工作表压力小于20kPa，有效容积不大于600,000m</w:t>
            </w:r>
            <w:r>
              <w:rPr>
                <w:rFonts w:ascii="宋体" w:hAnsi="宋体" w:eastAsia="宋体" w:cs="宋体"/>
                <w:color w:val="000000"/>
                <w:kern w:val="0"/>
                <w:sz w:val="20"/>
                <w:szCs w:val="20"/>
                <w:vertAlign w:val="superscript"/>
              </w:rPr>
              <w:t>3</w:t>
            </w:r>
            <w:r>
              <w:rPr>
                <w:rFonts w:ascii="宋体" w:hAnsi="宋体" w:eastAsia="宋体" w:cs="宋体"/>
                <w:color w:val="000000"/>
                <w:kern w:val="0"/>
                <w:sz w:val="20"/>
                <w:szCs w:val="20"/>
              </w:rPr>
              <w:t>的干式煤气柜工程设计、施工和运行管理中的安全技术要求。</w:t>
            </w:r>
            <w:r>
              <w:rPr>
                <w:rFonts w:hint="eastAsia" w:ascii="宋体" w:hAnsi="宋体" w:eastAsia="宋体" w:cs="宋体"/>
                <w:color w:val="000000"/>
                <w:kern w:val="0"/>
                <w:sz w:val="20"/>
                <w:szCs w:val="20"/>
              </w:rPr>
              <w:br w:type="textWrapping"/>
            </w:r>
            <w:r>
              <w:rPr>
                <w:rFonts w:ascii="宋体" w:hAnsi="宋体" w:eastAsia="宋体" w:cs="宋体"/>
                <w:color w:val="000000"/>
                <w:kern w:val="0"/>
                <w:sz w:val="20"/>
                <w:szCs w:val="20"/>
              </w:rPr>
              <w:t>主要修订内容：1.修订术语工作压力的定义，与《钢铁企业煤气储存和输配系统设计规范》GB51128-2015协调一致；2.修订危险化学品重大危险源辨识和安全仪表系统（SIS）配置的相关要求；3.修订干式柜的消防水设计的相关内容，使其与现行国家标准《消防给水及消火栓系统技术规范》衔接配套；4.根据干式柜筒体薄板加劲的结构特点，修订干式柜可以不设高压或临时高压消防给水系统和消防水炮的相关规定，防止发生次生灾害；5.修订内部吊笼维护要求，保障撤离通道畅通；6.修订无人值守的现场电气室和有人值守的控制室配置要求，使其有利于设计和安全检查的执行；7.修订干式柜底板排水器水封高度设置要求，使其有利于设计、使用规范化；8.修订处于同一围墙范围内封闭管理且与煤气柜配套使用的煤气加压机进出口管道隔断装置下方净空高度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中冶赛迪工程技术股份有限公司等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23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橡胶工厂环境保护设计规范GB50469-2016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适用于橡胶行业工厂新建、改建和扩建的工程的环境保护设计。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需要增加废气污染源的识别范围及相关内容；2.根据五年来掌握的橡胶行业废气排放特点，补充增加适合于本行业的废气治理技术及新工艺、新装备的应用；3.增加废气治理方案，及与“双碳”排放密切相关的技术要求，采用符合国家政策的低能耗环节及绿色、低碳、节能的装置；4.补充识别新增废水污染源及处置措施；5.相关废水处置措施进行协调性调整；6.补充噪声源的识别及其相应的防治措施；7.对厂区绿地率的要求数值进行调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中国化学工业桂林工程有限公司等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烧结砖瓦工厂设计规范GB50701-2011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适用于新建、改建和扩建的采用烧结工艺生产墙体、屋面、道路材料生产线的工程设计。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主要修订内容：1.对产品能耗、规模指标进行提升；2.增加自动化和智能制造相关要求；3.增加烧结砖瓦利用固废相关工艺要求。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西安墙体材料研究设计院有限公司等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3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水泥窑协同处置垃圾工程设计规范GB50954-2014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适用于利用新型干法水泥熟料生产线协同处置生活垃圾的新建、改建和扩建工程的设计。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主要修订内容：1.更新预燃炉、裂解炉、渗滤液处置设备、除臭系统等新型处置设备设施的相关要求；2.增加自动控制、智能控制相关要求。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中材国际环境工程(北京)有限公司等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290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生物液体燃料工厂设计规范GB50957-2013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适用于工艺技术成熟的以非粮淀粉类物质为原料的燃料乙醇工厂和以动植物的油脂为原料的生物柴油工厂的新建、改建及扩建工程的设计。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对原料的表述和生物液体燃料的定义；2.修订中央控制室、中心化验室、现场操作间以及车间管道布置以及地沟等要求；3.修改储罐形式的要求；4.修订热电联产和自备电站的规定；5.补充消防站的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中国轻工业工程建设协会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中国海诚工程科技股份有限公司等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3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碳纤维工厂技术标准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适用于碳纤维工厂的工程设计、施工及设备安装和质量验收，涵盖新建、改建和扩建的生产装置和辅助生产设施的建设工程。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主要技术内容：工艺设计和设备的基本要求、选择与布置原则；规划与总图、建筑结构设计；辅助生产设施的设计与施工；节能、安全、环境保护、职业卫生以及设备安装验收等要求。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中国纺织产业联合会产业部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上海纺织建筑设计研究院有限公司等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3802"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氨纶工厂技术标准(GB50929-2013、GB/T51109-2015整合)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适用于氨纶工厂的工程设计、施工及设备安装和验收，包括氨纶生产车间、生产辅助设施、仓储和罐区的新建、改建和扩建工程。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整合《氨纶工程设计规范》（GB50929-2013）和《氨纶设备工程安装与质量验收规范》（GB/T51109-2015）相关内容；2.完善新工艺和新设备的技术要求，结合国家双碳目标、绿色、智能制造等政策的实施，对氨纶生产工艺及设备降低能耗和智能化提出新要求；3.满足安全生产新要求，明确生产中主要物料毒性及生产火灾危险性分类，完善消防和职业安全卫生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中国纺织工业联合会产业部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江苏省纺织工业设计研究院有限公司等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292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印染工厂设计规范GB50426-2016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适用于棉、化纤及混纺织物连续和间歇式印染工厂生产及辅助设施的新建、改建和扩建工程设计。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完善危险化学品库存储设施有关设计条款要求；2.增加在工艺及设备、绿色建筑、水、电和蒸汽等方面采取节能减排措施要求；3.增加有关智能工厂规划设计内容；4.完善工艺、总图、建筑、结构、水、电、暖通、仓储等相关条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中国纺织工业联合会产业部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浙江省省直建筑设计院有限公司等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8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丝绸工厂设计规范GB50926-2013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适用于桑蚕茧、柞蚕茧为主要原料的制丝、绢纺、丝织和印染工厂的新建、改建和扩建工程的设计。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适应机械和自动化水平提高，增加要求及指标；2.增加缫丝工艺、绿色建筑、能源消耗等方面采取节能减排措施的要求；3.完善工艺、总图、建筑、结构、给水排水、采暖通风与空调滤尘、电气、动力、仓储等相关条文，使其与现行通用标准相协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中国纺织产业联合会产业部</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四川省纺织工业设计院等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723"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石油化工污水处理设计规范GB50747-2012</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适用于新建、改建和扩建的以石油、天然气和煤为基础原料的企业化工污水及园区企业化工污水处理工程的设计。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提出污水处理资源化利用的理念和方法；2.将石油化工企业与石油化工园区、新材料等纳入一体化设计；3.修订完善污泥处置、厌氧处理、深度处理、废气处理、污泥处理等内容；4.提出装置化、智能化的设计理念。</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中石化广州工程有限公司等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40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石油化工循环水场设计规范GB/T50746-2012</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适用于石油化工企业循环水场的设计。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主要修订内容：1.对循环水场按环保要求及相关新版标准要求进行修订；2.增加间冷闭式冷却设施、节水消雾冷却设施、节能等内容。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中国石化工程建设有限公司等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8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b/>
                <w:bCs/>
                <w:color w:val="000000"/>
                <w:kern w:val="0"/>
                <w:sz w:val="20"/>
                <w:szCs w:val="20"/>
              </w:rPr>
            </w:pPr>
            <w:r>
              <w:rPr>
                <w:rFonts w:ascii="宋体" w:hAnsi="宋体" w:eastAsia="宋体" w:cs="宋体"/>
                <w:b w:val="0"/>
                <w:bCs w:val="0"/>
                <w:color w:val="000000"/>
                <w:kern w:val="0"/>
                <w:sz w:val="20"/>
                <w:szCs w:val="20"/>
              </w:rPr>
              <w:t>烟气</w:t>
            </w:r>
            <w:r>
              <w:rPr>
                <w:rFonts w:ascii="宋体" w:hAnsi="宋体" w:eastAsia="宋体" w:cs="宋体"/>
                <w:color w:val="000000"/>
                <w:kern w:val="0"/>
                <w:sz w:val="20"/>
                <w:szCs w:val="20"/>
              </w:rPr>
              <w:t>二氧化碳捕集纯化工程设计标准GB/T51316-2018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适用于新建、改建和扩建的二氧化碳捕集纯化工程设计。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的二氧化碳的浓度范围及捕集方法等内容进行修订；2.修订浓度范围涵盖低浓度、中等浓度及高浓度，捕集方法包括化学吸收、膜分离、变压吸附及低温精馏等方法；3.适用范围拟覆盖电力、钢铁、水泥及石化等行业全类型二氧化碳捕集纯化工程。</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中石化石油工程设计有限公司等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5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煤炭工业矿井设计规范GB50215-2015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适用于新建、改建和扩建的煤炭工业矿井的初步可行性研究、可行性研究和工程设计。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主要修订内容：1.修订适用范围有关内容；2.修订矿井资源、储量、设计生产能力和服务年限；3.修订井田开拓；4.修订补充信息与自动化、智能化等相关内容。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中煤科工集团南京设计研究院有限公司等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2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煤炭矿井设计防火规范GB51078-2015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适用于新建、改建和扩建的煤炭矿井初步可行性研究、可行性研究和设计阶段的矿井工程的防火设计。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主要修订内容：1.修订防治外因火灾、防治内因火灾有关内容；2.增加防火系统有关内容；3.修订防灭火设施及器材等。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中煤科工重庆设计研究院（集团）有限公司等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75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煤矿采空区建（构）筑物地基处理技术规范GB51180-2016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适用于煤矿采空区场地地面新建、改建和扩建的工业与民用建（构）筑工程地基处理设计、施工和质量检验。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主要修订内容：1.修订采空区全灌注充填法治理检测相关内容；2.增加针对小窑采空区治理设计、施工及检测规定；3.增加规划未来开采形成的采空区沉陷防治、灾害预防等相关内容。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煤炭工业太原设计研究院集团有限公司等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5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煤炭工业矿井智能化设计规范GB/T51272-2018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适用于煤炭工业新建、改建和扩建的智能化矿井可行性研究、初步设计和施工图设计。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主要修订内容：1.修订信息基础设施有关总体架构、传输网络、平台软硬件、数据中心等内容，增加无线传输内容；2.修订矿井生产系统、矿井管理系统相关内容。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煤炭工业合肥设计研究院有限责任公司等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44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±800kV及以下换流站土建工程施工质量验收规范（GB50729-2012、GB50777-2012整合）</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适用于±800kV及以下直流换流站土建工程施工质量验收。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主要修订内容:1.整合《±800kV及以下换流站土建工程施工质量验收规范》 （GB 50729-2012）、《±800KV及以下换流站构支架施工及验收规范》GB50777-2012相关内容；2.修订适用范围、增加户内直流场和调相机土建施工的内容；3.增加户内直流场、调相机等术语；4.增加户内直流场、调相机等工程质量验收范围;5.增加 Ⅲ调相机混凝土主体工程、增加调相机压型金属板安装内容，修订Ⅳ 阀厅穿墙套管封堵安装工程，修订特殊地面（地坪）内容；6.增加围墙工程内容，修订附录A；7.修订5.3节构架及设备支架内容，增加格构式钢柱和钢梁的安装内容，修订焊缝质量检验方法及标准；8.增加高强螺栓紧固及检验内容,增加构支架补漆内容。</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国家电网有限公司特高压建设分公司等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57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城市防洪工程设计标准GB/T50805—2012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适用于有防洪任务的城市新建、改建和扩建城市防洪工程的设计。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改内容：1.完善与强制性工程规范《城乡排水工程项目规范》配套的技术要求；2.引入当量经济规模，完善临时建筑物级别、设计涝水标准；3.市政雨水管网设计流量方法与《室外排水设计标准》（GB50014-2021）相协调；4.总体布局增加超标准涝水安排，提出为超标准洪水、涝水预留空间与城市内涝等标准协调；5.修正堤顶高程计算公式和压实度要求，增加生态堤防设计要求；6.提出海堤与市政道路融合建设要求，修正堤顶宽度要求；7.增加清淤疏浚、海绵城市设计；8.提出闸型与城市景观结合要求，完善谷坊型式、泥石流作用强度等；9.将防洪预警调整为智能化管理设计；10.完善环境影响评价有关内容；11.水保增加一般规定，明确设计阶段、内容、原则和具体设计规定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中水北方勘测设计研究有限责任公司等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69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卤代烷灭火系统设计标准（GBJ110-1987和GB50163-1992整合）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适用于工业和民用建筑中设置的卤代烷1211全淹没灭火系统和卤代烷1301全淹没灭火系统的设计。不适用于卤代烷1211抑爆系统的设计。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主要修订内容：1.整合《卤代烷1211灭火系统设计规范》(GBJ110-1987)与《卤代烷1301灭火系统设计规范》(GB50163-1992)相关内容；2.与相应工程建设消防技术标准中相关技术要求协调。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住房和城乡建设部、国家消防救援局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应急管理部天津消防研究所等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21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气体灭火系统技术标准（GB50193-1993（2010年版）、GB50370-2005、GB50263-2007整合）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适用于新建、改建和扩建工程及生产和储存装置中设置的二氧化碳灭火系统、七氟丙烷、IG541混合气体和热气溶胶全淹没灭火系统的设计、施工、验收及维护管理。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整合《二氧化碳灭火系统设计规范》GB50193-1993（2010年版）、《气体灭火系统设计规范》(GB50370-2005)和《气体灭火系统施工及验收规范》(GB50263-2007)相关内容；2.增补气体灭火系统防护区气密性测试等关键技术要求。3.增补相关新技术的设计、施工、验收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住房和城乡建设部、国家消防救援局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国家消防救援局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应急管理部天津消防研究所等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bookmarkStart w:id="0" w:name="_GoBack"/>
            <w:r>
              <w:rPr>
                <w:rFonts w:hint="eastAsia" w:ascii="宋体" w:hAnsi="宋体" w:eastAsia="宋体" w:cs="宋体"/>
                <w:color w:val="000000"/>
                <w:kern w:val="0"/>
                <w:sz w:val="20"/>
                <w:szCs w:val="20"/>
              </w:rPr>
              <w:t>2024年12月</w:t>
            </w:r>
            <w:bookmarkEnd w:id="0"/>
          </w:p>
        </w:tc>
      </w:tr>
      <w:tr>
        <w:tblPrEx>
          <w:tblCellMar>
            <w:top w:w="0" w:type="dxa"/>
            <w:left w:w="108" w:type="dxa"/>
            <w:bottom w:w="0" w:type="dxa"/>
            <w:right w:w="108" w:type="dxa"/>
          </w:tblCellMar>
        </w:tblPrEx>
        <w:trPr>
          <w:trHeight w:val="13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混凝土电视塔结构技术规范GB50342-2003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适用于混凝土电视塔结构的设计和施工。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主要修订内容：1.极限状态由两类调整为三类，补充耐久性极限状态，增加对结构耐久性的要求及描述；2.提高混凝土及钢材的最低强度等级要求，调整相关的保护层、锚固长度等构造措施。</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国家广播电视总局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国家广播电视总局规划财务司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中广电广播电影电视设计研究院等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42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铀转化设施设计规范GB/T51013-2014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适用于天然铀、浓缩铀、贫化铀和核燃料后处理回收铀等铀物料的加工处理转化设施及配套辅助系统的新建、扩建和改造工程设计。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主要修订内容：1.对系统和设备安全分级、建（构）筑物安全分级进行修改；2.对抗震设防措施进行修改；3.补充铀转化设施防烟和排烟设施要求。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中国核工业集团有限公司</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中国核工业勘察设计协会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中核第七研究设计院有限公司等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291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核工业铀水冶厂尾矿库、尾渣库安全设计规范GB50520-2009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适用于核工业铀矿冶常规水冶生产和堆浸生产配套工程尾矿库、尾渣库设施的设计。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订尾矿库选址相关规定，与《核工业铀矿冶工程技术标准》（GB50521-2009）、《铀矿冶辐射防护和辐射环境保护规定》（GB23727-2020）和《尾矿库安全规程》（GB39496-2020）有关内容相衔接；2.根据当前国家安全环保要求，增加尾矿库安全监测设施设计、浸润线控制等内容，修订铀尾矿库、铀尾渣库防渗要求；3.增加尾矿库、尾渣库防渗补救相关内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中国核工业集团有限公司</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中国核工业勘察设计协会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中核第四研究设计工程有限公司等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301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地下及覆土火药炸药仓库设计安全规范GB50154-2009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适用于地下及覆土火药、炸药仓库，以及转运站、站台库的新建、改建和扩建和技术改造的工程设计。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库区外部允许距离项中被保护对象指标；2.重新核算转运站外部允许距离折减系数；3.增加F0区引入电气设备、移动机械用电设备的技术限定条件；4.结合行业特点补充新的技术要求，调整不适用、不完善的技术条款。</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国家粮食和物资储备局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国家粮食和物资储备局储备安全和应急物资保障中心</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中国兵器工业火炸药工程与安全技术研究院等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5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城市轨道交通岩土工程勘察规范GB50307-2012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适用于新建、改建和扩建城市轨道交通工程的岩土工程勘察。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工程勘察通用规范》配套的技术要求；2.增加滑坡、泥石流和崩塌勘察要求和内容；3.修订18.2.1条，增加“说明地质条件可能造成的工程风险”和“当有抗浮需要时，应进行抗浮评价，提出抗浮措施建议”等内容；5.修订3.0.11条、18.2.1条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工程勘察与测量标准化技术委员会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北京城建勘测设计研究院有限责任公司等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5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城市轨道交通工程测量规范GB/T50308-2017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适用于城市轨道交通的线网规划、新线路建设、既有线路改造、运营线路维护以及工程测量工作的技术设计、作业实施及成果整理与质量检验。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主要修订内容：1.完善与强制性工程规范《工程测量通用规范》配套的技术要求；2.完善三维激光扫描、BIM、物联网等新技术新方法的工程应用要求。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北京城建勘测设计研究院有限责任公司等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城市轨道交通工程监测技术规范GB50911-2013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适用于城市轨道交通新建、改建和扩建工程及工程维护的监测工作。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城市道路交通工程项目规范》配套的技术要求；2.增加高架桥梁、装配式结构、沉管隧道、顶管隧道及边坡等工程施工过程中安全风险监测内容及技术要求；3.完善工程监测项目控制值；4.增加对监测新技术、新方法的技术规定和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北京城建勘测设计研究院有限责任公司等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22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城镇供热系统节能技术标准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（GB/T 50893-2013、CJJ/T 185-2012整合）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适用于城镇民用建筑采暖的新建、改建和扩建的集中供热系统设计、施工调试、竣工验收、运行管理过程中的节能技术要求。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主要修订内容：1.完善与强制性工程规范《供热工程项目规范》配套的技术要求；2.整合《供热系统节能改造技术规范》（GB/T 50893-2013）和《城镇供热系统节能技术规范》（CJJ/T185-2012）相关内容；3.对标准章节进行调整，增加供热系统总体节能要求及技术指标；4.增加热源配置规模要求；5.修改节能评价工作内容；6.增加对智能化的要求；7.对改造施工进行细化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住房和城乡建设部供热标准化技术委员会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北京市煤气热力工程设计院有限公司等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7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城镇内涝防治技术规范GB51222-2017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适用于新建、改建和扩建的城镇内涝防治工程建设和运行维护。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城乡排水工程项目规范》配套的技术要求；2.完善与《城市防洪工程设计规范》技术内容协调；3.完善内涝防治系统超标应急的相关要求；4.完善细化排涝除险设施的设计要求；5.完善海绵城市建设相关要求；6.完善内涝因素和产生内涝的设施的治理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20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钢结构现场检测技术标准GB/T50621-2010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适用于钢结构有关连接、变形、钢材厚度、钢材品种、涂装厚度、动力特性等的现场检测与监测。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钢结构通用规范》配套的技术要求；2.补充钢材强度的无损检测方法、既有钢结构紧固件连接质量的现场检测方法；3.完善钢结构整体立面偏移和整体平面弯曲指标具体的检测操作过程及计算方法；4.完善与《焊缝无损检测 超声检测技术、检测等级和评定》（GB/T11345-2013）协调后的焊缝超声波检测技术。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住房和城乡建设部建筑工程质量标准化技术委员会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69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建筑采光设计标准GB 50033-2013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适用于利用天然采光的民用建筑和工业建筑的新建、改建和扩建工程的采光设计。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建筑环境通用规范》配套的技术要求；2.增加动态采光指标要求；3.增加基于非视觉效应的采光设计要求；4.增加变色玻璃、新型遮阳等新技术的设计选型要求；5.对住宅的厨房、学校教室，博物馆展厅等场所的采光标准值进行调整；6.明确对有阳台和遮阳的场所采光计算条件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住房和城乡建设部建筑环境与节能标准化技术委员会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9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建筑结构可靠性设计统一标准GB50068-2018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适用于房屋建筑结构以及地基基础的设计、结构施工阶段和使用阶段的设计以及既有建筑结构的可靠性评定。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工程结构通用规范》配套的技术要求；2.细化建筑结构安全等级的分类规定；3.修改有关“设计使用年限”的条文规定；4.对附录“既有建筑可靠性评定”的条文进行修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住房和城乡建设部建筑结构标准化技术委员会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9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混凝土外加剂应用技术规范GB50119-2013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适用于各类混凝土外加剂在水泥混凝土制品及工程中的应用。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混凝土结构通用规范》配套的技术要求；2.增补新剂种，填补新产品应用技术空白；3.修改完善有危害人体健康、污染环境、影响混凝土结构安全等潜在风险剂种的相关应用范围和技术细节；4.增补混凝土外加剂绿色低碳相关应用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住房和城乡建设部建筑结构标准化技术委员会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480" w:hRule="atLeast"/>
        </w:trPr>
        <w:tc>
          <w:tcPr>
            <w:tcW w:w="14034"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（二）行业标准</w:t>
            </w:r>
          </w:p>
        </w:tc>
      </w:tr>
      <w:tr>
        <w:tblPrEx>
          <w:tblCellMar>
            <w:top w:w="0" w:type="dxa"/>
            <w:left w:w="108" w:type="dxa"/>
            <w:bottom w:w="0" w:type="dxa"/>
            <w:right w:w="108"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城镇污水处理厂臭气处理技术规程CJJ/T243-2016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适用于新建、改建和扩建的城镇污水处理厂、排水泵站的臭气处理工程的设计、施工、验收和运行管理。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 1.完善与强制性工程规范《城乡排水工程项目规范》配套的技术要求；2.删除不适用的工艺，调整不合理的工艺设计参数，补充新的处理工艺。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72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城镇排水管渠与泵站运行、维护及安全技术规程CJJ/T68-2016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适用于排水管渠、泵站及调蓄池等设施运维管理工作。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城乡排水工程项目规范》配套的技术要求；2.统一排水设施、功能性检测、结构性检测等术语解释；3.补充排水户预处理设施运维及管理工作要求；4.补充完善排水管渠巡查内容及相关工作要求，细化排水管渠污泥处理处置运维及管理工作要求；5.补充雨水口、支连管垃圾拦截及泵站集水井垃圾收集装置、排水管渠养护机器人等新技术、新设备运维及管理工作要求；6.进一步完善维护作业安全要求，补充排水管渠、泵站及调蓄等设施运行监测内容及相关设施设备运维及管理工作要求；7.细化完善排水运行调度内容，补充排水模型构建及其应用、各类调蓄设施运维、排水系统联动联调等内容；8.补充排水泵站、透气井、雨水口等臭气防治工作要求，补充相关设施设备运维及管理工作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上海市排水管理事务中心等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84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生活垃圾堆肥处理技术规范CJJ52-2014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适用于新建、改建和扩建生活垃圾堆肥处理工程的选址、设计、施工和验收。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主要修订内容：1.完善与强制性工程规范《市容环卫工程项目规范》配套的技术要求；2.补充调整“堆肥反应器”等术语；3.调整城镇粪便等非生活垃圾进入堆肥处理系统的规定，增加园林绿化废物进入生活垃圾堆肥系统的规定，排除城镇污水厂污泥进入生活垃圾堆肥处理系统；4.删除中间处理相关内容，缩短厂内产物储存期的规定；5.修订预处理工艺配置的规定，修订主发酵温度-时间规定以及关于监测项目和频率的规定等。                  </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住房和城乡建设部市容环境卫生标准化技术委员会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同济大学等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3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住宅厨房模数协调标准JGJ/T262-2012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适用于住宅厨房及其相关家具、设备设施的设计和安装。</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主要修订内容：1.完善与强制性工程规范《住宅项目规范》配套的技术要求；2.修改并增加厨房内部空间平面净尺寸组合；3.增加有关操作间隙的规定；4.增加二级模数及其扩大模数、二级模数网格化的技术要求。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住房和城乡建设部建筑设计标准化技术委员会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3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住宅卫生间模数协调标准JGJ/T263-2012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适用于住宅卫生间及其相关家具、设备设施的设计和安装。</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住宅项目规范》配套的技术要求；2.修改并增加卫生间内部空间平面净尺寸组合；3.增加有关操作间隙的规定；4.增加二级模数及其扩大模数、二级模数网格化的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住房和城乡建设部建筑设计标准化技术委员会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69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建筑屋面雨水排水系统技术规程CJJ142-2014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适用于新建、改建和扩建的民用建筑、工业建筑的屋面以及与建筑相通的下沉广场、下沉庭院的雨水排水系统的设计、施工及验收、维序维护。</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建筑给水排水与节水通用规范》配套的技术要求；2.完善及增加87型雨水斗、虹吸雨水斗的最大排水流量；3.增加屋面天沟（集水槽）宽度、深度最小尺寸的规定；4.增加屋面雨水有组织排放的具体规定；5.修订雨水总径流雨量的计算公式；6与《建筑与小区雨水控制及利用工程技术规范》等现行标准协调；7.完善海绵城市建设相关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8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建筑外墙防水工程技术规程JGJ/T235-2011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适用于新建、改建和扩建建筑外墙防水工程的设计、施工及验收。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建筑和市政工程防水通用规范》配套的技术要求；2.修订时需按照防水功能重要程度和工程使用环境，提出具体的防水设防等级要求；3.结合不同外墙围护构造，针对防水设防等级要求，提出具体的防水做法；4.补充装配式外墙细部构造节点防水密封做法；5.与建筑节能相关标准的协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住房和城乡建设建筑工程质量标准化技术委员会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8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居住建筑节能检测标准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JGJ/T132-2009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适用于新建、改建和扩建的居住建筑的节能检测。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建筑节能与可再生能源利用通用规范》配套的技术要求；2.修订外围护结构热工缺陷的精准定量化与评价；3.新增建筑整体气密性检测方法；4.修订外窗窗口气密性以及外围护结构隔热，新增检测方法与指标；5.新增新风热回收装置及通风系统检测；6.新增可再生能源装置检测以及相关碳排放指标检测。</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住房和城乡建设部建筑环境与节能标准化技术委员会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347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建筑工程裂缝防治技术规程JGJ/T317-2014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本规程适用于建筑工程裂缝的预防和裂缝的治理。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主要修订内容：1.完善与强制性工程规范《混凝土结构通用规范》《砌体结构通用规范》《既有建筑鉴定与加固通用规范》《既有建筑维护与改造通用规范》《建筑与市政地基基础通用规范 》配套的技术要求；2.增加装配式混凝土结构裂缝防治技术；3.根据工程质量潜在缺陷保险的需求，修订地基变形裂缝控制技术，混凝土结构和砌体结构裂缝控制技术，轻质隔墙裂缝控制技术，外保温工程裂缝控制技术等；4.修订裂缝的判断与处理技术。</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住房和城乡建设部建筑结构标准化技术委员会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29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城市桥梁设计规范CJJ11-2011（2019年版）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适用于城市道路上新建永久性桥梁和地下通道的设计，也适用于镇（乡）村道路上新建永久性桥梁和地下通道的设计。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完善与强制性工程规范《城市道路交通项目规范》配套的技术要求的衔接；2.在规范正文中充实关于超重车通行管控要求、验算及运营的相关规定；3.充实完善桥梁抗倾覆安全验算方法及控制指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住房和城乡建设部道路与桥梁标准化技术委员会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上海市政工程设计研究总院（集团）有限公司等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157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住房和公积金基础数据标准JGJ/T320-2014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适用于住房公积金信息系统建设中基础数据的创建、检索、存储、传输、共享和集成。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主要修订内容：1.对现行标准原有的数据表进行数据项修改和新增；2.对标准中的数据项增加填写约束条件；3.新增灵活就业人员缴存使用住房公积金基础数据；4.新增住房公积金业务档案基础数据。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住房和城乡建设部建筑维护加固与房地产标准化技术委员会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北京住房公积金管理中心等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560" w:hRule="atLeast"/>
        </w:trPr>
        <w:tc>
          <w:tcPr>
            <w:tcW w:w="14034"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（三）产品标准</w:t>
            </w:r>
          </w:p>
        </w:tc>
      </w:tr>
      <w:tr>
        <w:tblPrEx>
          <w:tblCellMar>
            <w:top w:w="0" w:type="dxa"/>
            <w:left w:w="108" w:type="dxa"/>
            <w:bottom w:w="0" w:type="dxa"/>
            <w:right w:w="108" w:type="dxa"/>
          </w:tblCellMar>
        </w:tblPrEx>
        <w:trPr>
          <w:trHeight w:val="69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水处理用滤料（CJ/T43-2005和CJ/T299-2008整合）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适用于水处理用石英砂滤料、无烟煤滤料、高密度矿石滤料、瓷砂滤料（含瓷球）、陶粒滤料（含火山岩滤料、免烧陶粒滤料）、砾石承托料等的检验方法及铺装等。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主要修订内容：1.整合《水处理用滤料》CJ/T43-2005、《水处理用人工陶粒滤料》CJ/T299-2008相关内容；2.分类和规格表述；3.技术参数和检验方法。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中国市政工程中南设计研究总院有限公司等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城镇供水水质标准检验方法CJ/T141-2018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适用于城镇供水及其水源水的水质检测。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主要修订内容：增补新型污染物的检验方法。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潜水搅拌机CJ/T109-2007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适用于对城镇污水、工业废水、稀泥浆等进行搅拌的潜水搅拌机的生产和检验。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主要修订内容：增加潜水搅拌机的适用范围、产品性能、材料、型式。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天津市政工程设计研究总院有限公司等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超滤水处理设备CJ/T170-2018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适用于超滤膜过滤设备的生产和检验。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主要修订内容：材料选型、技术要求、试验方法等。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蓝星水处理技术有限公司等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旋转式滗水器CJ/T176-2007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适用于城镇污水、工业废水处理等工程中应用的滗水器。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主要修订内容：适用范围、产品性能、材料、型式。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天津市政工程设计研究总院有限公司等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钢丝网骨架塑料（聚乙烯）复合管材及管件CJ/T189-2007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适用于城镇供水、建筑给水等输送用管材和管件。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主要修订内容：补充管材及管件的剥离强度、原材料的性能等技术要求。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广东东方管业有限公司等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污泥脱水用带式压滤机CJ/T508-2016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适用于给水排水工程中带式压滤机的制造和检验。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主要修订内容：基本参数及要求。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中国市政工程华北设计研究总院有限公司等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重力式污泥浓缩池周边传动浓缩机CJ/T507-2016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适用于污泥处理工程中的浓缩机的制造和检验。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主要修订内容：引用文件、基本参数及要求。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中国市政工程华北设计研究总院有限公司等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市政管道电视检测仪CJ/T519-2018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适用于市政管道电视检测仪的制造和检验。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主要修订内容：组成及基本功能、要求、主要性能相关章节的技术要求。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保定金迪科学仪器有限公司等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多功能斜板阀CJ/T379-2011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适用于给水用多功能斜板阀的的制造和检验。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主要修订内容：产品机械结构技术性能；增加智能化、信息化功能要求。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株洲南方阀门股份有限公司等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防气蚀大压差可调减压阀CJ/T404-2012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适用于给水用防气蚀大压差可调减压阀的的制造和检验。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主要修订内容：增加减压阀类型、结构形式等。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广东永泉阀门科技有限公司等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城乡水务信息系统安全技术要求</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适用于城乡水务行业信息系统的安全建设、规划、验收等。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主要技术内容：基本要求、安全技术架构、安全业务流程。</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住房和城乡建设部市政给水排水标准化技术委员会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城镇燃气燃烧器具用不锈钢排气管（CJ/T198-2004和CJ/T199-2018整合）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适用于以液化石油气、天然气、人工煤气及石油为燃料的自然排气式和强制排气式燃具用的不锈钢排气管。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整合《燃烧器具用不锈钢排气管》CJ/T198-2004、《燃烧器具用给排气管》CJ/T199-2018相关内容；2.修改标准范围；3.增加不锈钢复合材料排气管的相关要求；4.增加排气管相关橡胶与塑料的材料等要求及相关试验方法；5.增加密封圈的技术要求及选用范围；6.增加相应的产品图例；7.修改外包装要求；8.修改试验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住房和城乡建设部燃气标准化技术委员会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浙江东旺不锈钢实业有限公司等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城镇燃气集成灶CJ/T386-2012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适用于使用GB/T13611规定的燃气且单个燃烧器额定热负荷不大于5.23kW带有排风装置的集成式燃气灶具。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热效率要求；2.热效率试验用锅；3.噪声要求；4.玻璃板材质要求；5.增加烟气中氮氧化物含量要求；6.补充相关控制要求，包括产品相关控制功能、软硬件要求等；7.电气要求；8.室内CO2浓度要求；9.增加远程遥控要求；10.增加其他功能部件（消毒柜、电烤箱等）与集成灶的模块化连接的要求；11.增加油污处理方面的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住房和城乡建设部燃气标准化技术委员会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中国市政工程华北设计研究总院有限公司等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9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城镇燃气表安全技术要求</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适用于城镇燃气表的设计、生产、试验与验收。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涵盖《IC卡膜式燃气表》CJ/T112-2008、《切断型膜式燃气表》CJ/T449-2014、《超声波燃气表》CJ/T477-2015、《无线远传膜式燃气表》CJ/T503-2016相关内容，包括城镇燃气表的术语和定义、分类、结构和材料、安全技术要求、试验方法、检验规则、标识、包装、运输与贮存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住房和城乡建设部燃气标准化技术委员会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中国市政工程华北设计研究总院有限公司等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8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城镇燃气输送用薄壁不锈钢管及管件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适用于燃气输送用薄壁不锈钢管及管件的规格和尺寸、要求、试验方法及检验规则等。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涵盖《薄壁不锈钢承插压合式管件》CJ/T463-2014、《燃气输送用不锈钢管及双卡压式管件》CJ/T466-2014相关内容，包括燃气输送用薄壁不锈钢管及管件的术语和定义、标记和材料、结构和基本尺寸、材料、要求、试验方法、检验规则、标志、包装、运输和贮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住房和城乡建设部燃气标准化技术委员会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中国市政工程华北设计研究总院有限公司等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6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燃气热水器及采暖炉用热交换器CJ/T469-2015</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安装在GB6932和CJ/T336中规定的家用燃气快速热水器中的铜制和不锈钢制的热交换器，也适用于安装在GB25034和CJ/T395中规定的单采暖型和采暖热水两用型燃气采暖炉中的铜制和不锈钢制的热交换器。本标准不适用于燃气采暖热水两用炉中的板式热交换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不锈钢制热交换器和全预混热交换器等产品分类；2.增加不锈钢制热交换器和全预混热交换器等产品类型的结构要求、性能要求和试验方法；3.修订操作性欠缺的冷热冲击和耐交变压力的试验方法；4.修订耐水冲击和耐交变压力的相关指标及试验方法；5.修订检验规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住房和城乡建设部燃气标准化技术委员会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成都前锋热交换器有限责任公司等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25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城镇燃气用具连接用金属包覆软管CJ/T490-2016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适用于公称尺寸不大于32、工作压力不大于10kPa、使用环境温度为-10℃~70℃、燃气质量符合GB/T13611规定的城镇燃气室内管道支管、瓶装液化石油气调压器出口与用户燃气燃烧器具连接用金属包覆软管。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主要修订内容：1.产品分类；2.删除螺纹锁紧插口连接形式；3.增加两端喉箍锁紧插口连接形式软管；4.增加编织型和钢带缠绕铠装型产品的特殊要求，包括结构、材料等；5.增加相应的产品图例；6.修订检验规则。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住房和城乡建设部燃气标准化技术委员会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杭州万全金属软管有限公司等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20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缓粘结预应力钢绞线JG/T369-2012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适用于后张预应力混凝土结构中使用的缓粘结预应力钢绞线。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主要修订内容：在原标准直径15.2mm缓粘结钢绞线基础上，增加直径为17.8mm、21.8mm、28.6mm三个规格缓粘结预应力钢绞线及各项指标参数。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住房和城乡建设部建筑结构标准化技术委员会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中国京冶工程技术有限公司等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72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钢筋桁架楼承板JG/T368-2012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适用于工业与民用建筑及构筑物楼屋盖所用的钢筋桁架楼承板的生产、检验和验收。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主要修订内容：1.与现行相关国家标准协调，不再使用低强度的钢筋和混凝土；2.改进腹板钢筋的形式；3.增加免拆底模、可拆底模等新型楼承板板型；4.为保证质量，改进检验的批次和方法。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住房和城乡建设部建筑结构标准化技术委员会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中冶建筑研究总院有限公司等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5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建筑结构用高频焊接薄壁H型钢JG/T137-2007</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适用于一般工业与民用建筑钢结构建筑及构筑物采用的高频焊接H型钢构件。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根据最新颁布的《钢结构通用规范》《钢结构设计标准》《钢结构施工施工质量验收规范》等最新国行标内容对高频焊接H型钢的材质、规格、偏差等进行调整；2.对高频焊接H型钢的检验检测方法进行调整；3.型号和截面规格；4.检验规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住房和城乡建设部建筑结构标准化技术委员会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21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民用建筑钢构件碳排放计量标准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适用于建筑工程设计、施工、拆除阶段对钢构件的碳排放进行计量。</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1.术语和定义；2.产品分类及标记；3.钢构件碳排放计量原则与方法；4.钢构件生产阶段碳排放量计算；5.钢构件运输阶段碳排放量计算；6.钢构件装配施工阶段碳排放；7.钢构件拆除回收阶段碳排放与碳汇；8.钢构件碳排放计量智慧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住房和城乡建设部建筑结构标准化技术委员会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住房和城乡建设部科技与产业化发展中心等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57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建筑隔震橡胶支座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JG/T 118-2018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适用于建筑用橡胶隔震支座的要求和检验。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主要修订内容：1.支座拉压试验方法和检验指标；2.标准化产品规格和参数适当调整，由资料性附录修改为规范性附录；3.增加产品质量信息可追溯；4.支座和防火措施一体化产品防火检验要求。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住房和城乡建设部建筑结构标准化技术委员会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钢筋机械连接用套筒JG/T163-2013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适用于锥螺纹、直螺纹、挤压钢筋机械连接用套筒。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主要修订内容：1.与现行国行标规定协调一致；2.增加适用钢筋范围；3.增加直螺纹套筒新型式；4.修订套筒要求、试验方法、检验规则；5.规范非标螺纹、非圆柱形、非45号钢原材料套筒的生产、检验。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住房和城乡建设部建筑结构标准化技术委员会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2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相变蓄能装置</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适用于建筑供热、供冷用的相变蓄能装置。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主要技术内容：1.术语和定义；2.分类和标记；3.结构和材料要求；4.试验方法、检验规则；5.标志、使用说明书和合格证；6.包装、运输和贮存。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住房和城乡建设部建筑环境与节能标准化技术委员会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1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空气分布器性能试验方法JG/T20-1999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适用于各类送风口、回风口的空气动力性能试验；适用于等温条件（即送风温度等于房间温度或两者温差不大于2℃）下进行空气动力性能试验，并对非等温射流特性试验提出技术要求。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第2章试验用测量仪表及性能要求；2.增加第3章和第4章对不规则形状的风口的测量要求，增加对低速末端及高速末端的测量要求和方法；3.修改第3章压力损失试验用装置的规定、明确测试工况；4.修改第4章试验房间的要求；修改试验风口的安装要求；5.修改流形包络面、射程、扩散宽度、上升（下降）距离的测量和确定方法；6.增加空气分布器防雨、防尘性能试验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住房和城乡建设部建筑环境与节能标准化技术委员会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23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空气过滤器用滤料JG/T404-2013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适用于对空气中颗粒物具有过滤作用的，由玻璃纤维、合成纤维、天然纤维、复合材料或者其他材质做成的滤料。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在第5章增加滤料抗菌、防霉性能的要求，并在第6章增加相应试验方法；2.修改5.3.1、5.3.2和5.3.3条滤料过滤性能要求，并修改6.3.1和6.3.2条的试验方法；3.5.3.5条增加消静电性能指标和要求；4.5.4节增加容尘性能的量化性能指标和要求，修改附录F.3.3终阻力要求；5.增加滤料回收利用和报废处理的节材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住房和城乡建设部建筑环境与节能标准化技术委员会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29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空气净化器污染物净化性能测定JG/T294-2010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适用于民用建筑中使用的室内单体式空气净化器和安装在集中空调通风系统中的各类模块式空气净化器的性能测定。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5.4节测试用污染源的菌种类型及相应的测试方法；2.第4章增加类新冠病毒等生物气溶胶指标，并在第5章增加相应的测试方法；3.修改第4章臭氧浓度增加量、化学污染物净化效率和微生物污染物净化效率指标要求；4.在第4章增加PM2.5净化效率指标，并在第5章增加相应的测试方法；5.增加大型商用空气净化器的定义、性能要求和测试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住房和城乡建设部建筑环境与节能标准化技术委员会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20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辐射供冷及供暖装置热性能测试方法JG/T403-2013</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适用于非强制对流换热的，以水为热（冷）媒或以发热电缆、电热膜为加热元件的辐射供暖供冷装置的性能测定。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主要修订内容：1.增加非地面安装的电辐射板等辐射装置的检测方法；2.增加电辐射装置的安全性和控制性能等检测方法；3.增加升降温时间测试方法；4.增加反向传热率和阻力测试方法。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住房和城乡建设部建筑环境与节能标准化技术委员会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4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给水衬塑复合钢管及管件CJ/T 137-2008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适用于公称直径DN15～DN500、工作压力不大于1.6MPa、输送介质温度低于45℃的给水衬塑钢管以及管件的生产、制造及检验。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主要修订内容：1.规定衬塑复合管钢管壁厚，明确冷热水应用范围；2.对PE滚衬厚度、规格、检验项目及使用场所提出要求；3.增加防腐橡胶圈厚度。</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中国建筑金属结构协会等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7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建筑给水用薄壁不锈钢管及管件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（CJ/T 151-2016和CJ/T 152-2016整合）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适用于公称压力不大于1.6MPa、公称尺寸不大于DN300，用于输送生活给水（冷水、热水）、管道直饮水等的薄壁不锈钢管路用管件的设计、制造和验收。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主要修订内容：1.整合《薄壁不锈钢水管》CJ/T151-2016、《薄壁不锈钢卡压式管件和沟槽式管件》CJ/T152-2016相关内容；2.调整适用范围；3.调整管道的规格尺寸；4.调整性能参数。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住房和城乡建设部建筑给水排水标准化技术委员会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江苏金羊慧家管道系统有限公司等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440" w:hRule="atLeast"/>
        </w:trPr>
        <w:tc>
          <w:tcPr>
            <w:tcW w:w="70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1701"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双止回倒流防止器CJ/T160-2010</w:t>
            </w:r>
          </w:p>
        </w:tc>
        <w:tc>
          <w:tcPr>
            <w:tcW w:w="70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适用于输送液体介质公称压力不大于1.6MPa、温度不大于82℃，公称尺寸不大于DN600，用于输送生活给水(冷水、热水)、管道直饮水的管道上双止回倒流防止器的设计、制造和验收。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主要修订内容：1.增加耐久度寿命测试的要求；2.修订双止回倒流防止器压力损失的要求；3.增加双止回倒流防止器可在线检修的结构设计要求。</w:t>
            </w:r>
          </w:p>
        </w:tc>
        <w:tc>
          <w:tcPr>
            <w:tcW w:w="1134"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住房和城乡建设部建筑给水排水标准化技术委员会</w:t>
            </w:r>
          </w:p>
        </w:tc>
        <w:tc>
          <w:tcPr>
            <w:tcW w:w="1559" w:type="dxa"/>
            <w:tcBorders>
              <w:top w:val="single" w:color="000000" w:sz="4" w:space="0"/>
              <w:left w:val="single" w:color="000000" w:sz="4" w:space="0"/>
              <w:bottom w:val="single" w:color="auto"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广东永泉阀门科技有限公司等</w:t>
            </w:r>
          </w:p>
        </w:tc>
        <w:tc>
          <w:tcPr>
            <w:tcW w:w="141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60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建筑给水用齿环卡压式薄壁不锈钢管件CJ/T520-2017      </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适用于输送液体介质公称压力不大于2.5MPa、温度不大于110C，用于输送生活给水（冷水、热水）、管道直饮水等齿环卡压式薄壁不锈钢管路使用的设计、制造和验收。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主要修订内容：1.适用范围；2.管道规格尺寸；3.性能参数。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住房和城乡建设部建筑给水排水标准化技术委员会</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江苏金羊慧家管道系统有限公司等</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699"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城市道路用冷拌沥青再生剂CJ/T529-2018</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适用于城市道路及国内各等级公路沥青路面厂拌冷再生和就地冷再生时，为改善乳化沥青稳定性、渗透性和耐老化性等性能而使用的添加剂。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主要修订内容：1.增加分类类别；2.修改赛博特粘度和针入度等技术指标；3.增加赛博特粘度试验方法；4.修改检验规则。</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住房和城乡建设部道路与桥梁标准化技术委员会</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北京交通大学等</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140" w:hRule="atLeast"/>
        </w:trPr>
        <w:tc>
          <w:tcPr>
            <w:tcW w:w="709"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701" w:type="dxa"/>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城市公共交通主要保修设备配备 公交保养场、维修厂（CJ/T9-1999和CJ/T 10-1999、CJ/T 11-1999整合）</w:t>
            </w:r>
          </w:p>
        </w:tc>
        <w:tc>
          <w:tcPr>
            <w:tcW w:w="709"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适用于城市公共汽车、新能源公交车、无轨电车的保养场、修理厂。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主要修订内容：1.整合《城市公共交通主要保修设备配备 无轨电力保养场》CJ/T9-1999、《城市公共交通主要保修设备配备 公共汽车保养场》CJ/T10-1999、《城市无轨电车和有轨电车供电系统》CJ/T11-1999相关内容；2.适用范围修订，增加新能源公交车维修保养设备；3.梳理原标准中老旧、不适用维修机具设备，更替、补充当前新技术设备及数量要求。</w:t>
            </w:r>
          </w:p>
        </w:tc>
        <w:tc>
          <w:tcPr>
            <w:tcW w:w="1134" w:type="dxa"/>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住房和城乡建设部道路与桥梁标准化技术委员会</w:t>
            </w:r>
          </w:p>
        </w:tc>
        <w:tc>
          <w:tcPr>
            <w:tcW w:w="1559" w:type="dxa"/>
            <w:tcBorders>
              <w:top w:val="single" w:color="auto"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重庆城市交通研究院有限责任公司等</w:t>
            </w:r>
          </w:p>
        </w:tc>
        <w:tc>
          <w:tcPr>
            <w:tcW w:w="1418"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7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城市道路塌陷隐患检测探地雷达</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适用于道路塌陷检测应用的三维探地雷达设备。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主要技术内容：1.产品的环境适用性等通用要求；2.产品软硬件组成及功能、性能特性；3.产品软硬件技术指标要求；4.产品硬件、软件性能指标检测方法及检测步骤等要求。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住房和城乡建设部道路与桥梁标准化技术委员会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北京华航无线电测量研究所等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4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建筑用腻子通用技术要求（JG/T 157-2009和JG/T 298-2010整合）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适用于各类建筑物（如住宅、办公大楼、仓库、商场、体育馆、图书馆、医院、学校、机场、车站、剧院、教堂等）和部分构筑物（如围墙）。</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整合《建筑外墙用腻子》JG/T157-2009、《建筑室内用腻子》JG/T298-2010相关内容；2.增加房屋刷新产品分类；对应新增分类产品增加技术要求及试验方法；增加粘结强度现场检测方法；更新GB18582等引用的有害物质限量及其他方法标准；3.增加抛光型腻子等产品分类，明确不适用于外墙外保温系统的产品；对应新增分类产品增加技术要求及试验方法；增加外墙外保温水蒸气透过及粘结强度现场检测方法；增加有害物质限量要求，与GB18582-2020规定相协调；更新引用的方法标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住房和城乡建设部建筑制品与构配件标准化技术委员会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948"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住宅整体厨房设施与设备JG/T184-2011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适用于住宅建筑内使用的整体厨房。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适应目前装配式建筑的要求；2.增加厨房设备和设施分类；3.增加厨房设备和设施性能要求；4.增加厨房空气环境要求；5.增加无障碍厨房对于操作台的尺寸及相关厨房设备的相关要求；6.增加不锈钢橱柜的性能及材料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住房和城乡建设部建筑制品与构配件标准化技术委员会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中国房地产业协会材料与设施委员会等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4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住宅厨房和卫生间排烟（气）道制品JG/T194-2018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适用于住宅厨房、卫生间排烟（气）道系统中的管道制品。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排气道最小壁厚和物理性要求及试验方法；2.修改金属排气道制品的性能要求、耐火隔热性能要求及试验方法；3.修改水泥排气道制品耐火性能隔热性能要求及试验方法；4.增加排气道制品在住宅厨卫排气道系统中气密性的性能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住房和城乡建设部建筑制品与构配件标准化技术委员会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中国房地产业协会材料与设施委员会等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42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建筑用玻璃与金属护栏JG/T342-2012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适用于金属栏杆和金属或玻璃材料栏板所组成的民用建筑防护栏杆。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标准适用范围；2.护栏防护高度的定义；3.分类方法；4.增加紧固件和垫片胶条的材质要求；5.抗水平荷载性能增加中小学校GB50099的要求；6.增加耐腐蚀性能要求；7.增加护栏用电要求及功能性护栏结构要求；8.增加无障碍护栏的设计尺寸及技术要求；9.增加双扶手设计尺寸和性能要求；10.增加集中水平荷载,与JGJ/T 470保持一致；11.增加新性能对应的试验方法；12.修改抗垂直荷载性能的试验方法。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住房和城乡建设部建筑制品与构配件标准化技术委员会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广东坚朗五金制品股份有限公司等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53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合成树脂装饰瓦JG/T346-2011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适用于通过共挤或覆膜工艺制备的合成树脂装饰瓦。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主要修订内容：1.修改标准适用范围；2.增加分类与标记；3.增加冰雹冲击、燃烧性能分级、制品的拉伸弯曲等力学性能指标；4.修改检验规则。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住房和城乡建设部建筑制品与构配件标准化技术委员会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中石化（北京）化工研究院有限公司等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建筑用非承重纤维增强水泥板JG/T396-2012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适用于建筑用非承重纤维增强水泥围护墙板、面板和衬板。</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主要修订内容：1.参考ISO 8336:2017和EN 12467-2018新版性能指标进行修改；2.补充非承重纤维增强水泥板在内墙中的性能指标要求。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住房和城乡建设部建筑制品与构配件标准化技术委员会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建筑用太阳能光伏系统支架通用技术要求JG/T490-2016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适用于建筑物、构筑物及附属场地安装的太阳能光伏系统。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主要修订内容：光伏支架在建筑中安装时，与建筑安全相关的材料选型、力学性能、防腐性能，以及配套的试验方法。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住房和城乡建设部建筑制品与构配件标准化技术委员会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699"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建筑用光伏构件通用技术要求JG/T492-2016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适用于民用与工业建筑用光伏构件。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光伏构件类型及分类方法、修订光伏构件的材料、发电、防雷要求；2.更新光伏构件外观、尺寸、抗风压、绝缘与湿漏电性能要求，增加光伏构件防风掀、抗弯曲、防水、耐冰雹、防火、高温环境性能要求；3.修订相关性能试验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住房和城乡建设部建筑制品与构配件标准化技术委员会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4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建筑用光热构件通用技术要求JG/T493-2016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适用于工业与民用建筑光伏构件。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主要修订内容：1.分类、代号与标记；2.材料、性能等要求，并结合国内外相关检测标准的更新，并优化相关性能指标要求的试验方法。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住房和城乡建设部建筑制品与构配件标准化技术委员会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中国建筑设计研究院有限公司等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4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生活垃圾产生量计算及预测方法CJ/T106-2016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适用于城镇及农村产生的居民生活垃圾、装修垃圾、大件垃圾等的产生量计算及预测。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主要修订内容：1.生活垃圾产生量计算方法；2.生活垃圾产生量预测方法；3.生活垃圾产生量计算及预测方法的应用。</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住房和城乡建设部市容环境卫生标准化技术委员会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天津市城市管理研究中心等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压缩式垃圾车CJ/T127-2016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适用于在已定型的二类汽车底盘上改装的后装压缩式垃圾车。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主要修订内容：增加称重系统及智能监控系统的技术要求。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住房和城乡建设部市容环境卫生标准化技术委员会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北京华林特装车有限公司等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环境卫生设施属性数据标准CJ/T171-2016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适用于城市和乡镇各类环境卫生设施属性数据的采集、存储、处理和交换。</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主要修订内容：1.修改城镇环境卫生设施的分类；2.补充相关处理设施属性数据内容；3.补充各类环境卫生设施数据项；4.修改现有环境卫生设施属性数据的采集内容和数据库结构。</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住房和城乡建设部市容环境卫生标准化技术委员会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中国市政工程中南设计研究总院有限公司等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83"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城市道路清扫面积测算方法CJ/T277-2008</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适用于城市道路清扫面积测量、计算、统计方法及测量工具，以及城市道路的清扫、保洁面积、洒水面积的测算、作业和统计。城市广场和绿地的清扫、保洁面积的测算可参照使用。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主要修订内容：1.修改测量方法和测量设备；2.细化对人工清扫和机械清扫的不同清扫方式的道路面积计算方法。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住房和城乡建设部市容环境卫生标准化技术委员会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武汉市城市管理技术研究中心等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785"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生活垃圾压缩机（CJ/T338-2010和CJ/T391-2012整合）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适用于生活垃圾转运站和收集站的压缩设备。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整合《生活垃圾转运站压缩机》CJ/T338-2010、《生活垃圾收集站压缩机》CJ/T391-2012相关内容；2.修改相关术语；3.修改压缩机分类形式；4.修改生活垃圾压缩机技术参数，对不同类别垃圾的技术参数提出相应技术要求；5.修改完善试验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住房和城乡建设部市容环境卫生标准化技术委员会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上海环境卫生工程设计院有限公司等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5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堆肥自动监测与控制设备(CJ/T 369-2011和CJ/T 408-2012整合)</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适用于城镇污水处理厂污泥、粪渣污泥、生活垃圾、畜禽粪便和园林垃圾等有机固体废弃物堆肥的自动监测与控制设备。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主要修订内容：1.整合《堆肥自动监测与控制设备》CJ/T369-2011、《好氧堆肥氧气自动监测设备》CJ/T408-2012相关内容；2.增加目前堆肥机械化有关的软件、硬件领域新技术要求。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住房和城乡建设部市容环境卫生标准化技术委员会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北京中科博联科技集团有限公司等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5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活动厕所CJ/T378-2011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适用于活动厕所设计、制造、验收、包装、运输及施工。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主要修订内容：1.修改活动厕所分类及命名；2.补充农村厕所相关技术要求；3.新增生物降解型活动厕所；4.增加有关节能节水节电以及绿色建筑、低层模块活动厕所安全方面技术要求。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住房和城乡建设部市容环境卫生标准化技术委员会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上海美申环境设施设备有限公司等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2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承插型盘扣式钢管支架构件JG/T503-2016</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适用于工业与民用建筑工程中使用的承插型盘扣式钢管支架构件的生产和检验。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根据相关引用标准的变更，调整相关条文内容；2.修订产品规格误差，纳入近几年新发展的配件结构型式；3.在要求一章中，根据近几年的新材料变化，修订相关技术要求条款；4.增加对新材料的性能检验要求；5.增加相关构配件检测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住房和城乡建设部建筑施工安全标准化技术委员会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江苏速捷模架科技有限公司等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20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城市轨道交通钢铝复合导电轨技术要求CJ/T414-2012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适用于城市轨道交通牵引供电系统钢铝复合导电轨的设计、生产、试验、检验和验收等。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主要修订内容：材料、规格、要求、检验规则和试验方法、钢铝复合导电轨结构型式、钢铝复合导电轨和主要零部件的试验方法。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住房和城乡建设部城市轨道交通标准化技术委员会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北京市地铁运营有限公司等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2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自导向轮胎式车辆通用技术条件CJ/T366-2011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适用于在地面、高架桥和隧道中专用混凝土道路上行驶的自导向轮胎式车辆。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主要修订内容：1.根据新发布的强制性标准GB 55033-2022《城市轨道交通工程项目规范》及CJJ/T 277-2018《自动导向轨道交通设计标准》的要求进行相应修改；2.修改规范性引用文件；3.纳入“电磁兼容”、“客室空气质量要求”等要求。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住房和城乡建设部城市轨道交通标准化技术委员会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铁科院（北京）工程咨询有限公司等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城市轨道交通直线感应牵引电机技术条件CJ/T311-2009</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适用于城市轨道交通机车车辆的直线感应电机，对直线感应牵引电机的技术条件，试验方法进行了规定。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主要修订内容：1.增加介质损耗、泄露电流等电机绝缘测试技术要求；2.修订机械形变及耐振强度的技术要求；3.新增电机空载与短路测试要求。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住房和城乡建设部城市轨道交通标准化技术委员会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广州地铁集团有限公司等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3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城市轨道交通直流牵引供电整流机组技术条件CJ/T370-2011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适用于以二极管器件为整流单元的整流机组的产品设计、制造、试验。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主要修订内容：1.更新现行标准带年号部分以及相关内容；2.增加环境条件抗震要求等；3.根据GB4023-2015，提供二极管型式试验报告，删除二极管抽样试验要求。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住房和城乡建设部城市轨道交通标准化技术委员会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中车株洲电力机车研究所有限公司等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12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居住区数字系统评价标准CJ/T376-2011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局部修订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适用于为居住区提供智能化服务的相关数字系统的设计、验收和运行评估。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主要修订内容：1.修改规范性引用文件；2.增加对数字家庭系统的要求；3.增加国产商用密码算法应用的要求。</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住房和城乡建设部信息技术应用标准化技术委员会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住房和城乡建设部信息中心等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580" w:hRule="atLeast"/>
        </w:trPr>
        <w:tc>
          <w:tcPr>
            <w:tcW w:w="14034"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三、标准翻译</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水工建筑物抗震设计标准GB51247-2018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本规范与中文版相同，主要内容与中文版相同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中国水利水电科学研究院等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小型水电站施工安全标准GB51304-2018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本规范与中文版相同，主要内容与中文版相同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水利部农村电气化研究所等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节水灌溉工程技术标准GB/T50363-2018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本规范与中文版相同，主要内容与中文版相同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中国灌溉排水发展中心等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水利泵站施工及验收规范GB/T51033-2014</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中国灌溉排水发展中心等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河流流量测验规范GB50179-2015</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长江水利委员会水文局等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厚膜陶瓷基板生产工厂设计标准GB51333-2018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真空电子器件生产线设备安装技术标准GB51343-2018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电子工业厂房综合自动化工程技术标准GB51321-2018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岩棉工厂设计标准GB/T51379-2019</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中国建筑材料工业规划研究院等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9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纤维增强塑料排烟筒工程技术规范GB51352-2019</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中译英</w:t>
            </w:r>
          </w:p>
        </w:tc>
        <w:tc>
          <w:tcPr>
            <w:tcW w:w="49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本规范与中文版相同, 主要内容与中文版相同。</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华东理工大学等</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2024年6月</w:t>
            </w:r>
          </w:p>
        </w:tc>
      </w:tr>
      <w:tr>
        <w:tblPrEx>
          <w:tblCellMar>
            <w:top w:w="0" w:type="dxa"/>
            <w:left w:w="108" w:type="dxa"/>
            <w:bottom w:w="0" w:type="dxa"/>
            <w:right w:w="108" w:type="dxa"/>
          </w:tblCellMar>
        </w:tblPrEx>
        <w:trPr>
          <w:trHeight w:val="520" w:hRule="atLeast"/>
        </w:trPr>
        <w:tc>
          <w:tcPr>
            <w:tcW w:w="14034"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四、国际标准</w:t>
            </w:r>
          </w:p>
        </w:tc>
      </w:tr>
      <w:tr>
        <w:tblPrEx>
          <w:tblCellMar>
            <w:top w:w="0" w:type="dxa"/>
            <w:left w:w="108" w:type="dxa"/>
            <w:bottom w:w="0" w:type="dxa"/>
            <w:right w:w="108" w:type="dxa"/>
          </w:tblCellMar>
        </w:tblPrEx>
        <w:trPr>
          <w:trHeight w:val="288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热回收和能量回收通风机组—季节性能系数的测试与计算方法—第1部分：热回收机组供热显热回收季节性能系数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制订</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适用于热回收新风机组在采暖供热季节新风显热回收节能量和建筑运行能耗减小量的测试和评价。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主要内容包括目录、前言、范围、规范性引用文件、术语与定义、符号、测试方法、计算方法、测试报告模板和附录。</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ISO/TC86/SC6制冷和空气调节/空调器及热泵的试验和评定国内技术归口单位、住房和城乡建设部标准定额研究所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302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供热管网国际标准化</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技术归口</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落实《住房和城乡建设领域贯彻落实&lt;国家标准化发展纲要&gt;工作方案的要》求，按照ISO相关工作程序要求组织管理ISO/TC341供热管网国际标准化工作，组织规划ISO/TC 341供热管网标准架构，开展供热管网领域国际标准管理、协调、技术咨询等工作。组建国内技术对口工作组，跟踪研究供热管网国际标准化发展动态，探索我国供热标准，提升国际标准工作机制，提出国际标准新工作项目提案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住房和城乡建设部标准定额司、住房和城乡建设部标准定额研究所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中国城市建设研究院有限公司（ISO/TC 341供热管网秘书处承担单位）等</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2024年12月</w:t>
            </w:r>
          </w:p>
        </w:tc>
      </w:tr>
      <w:tr>
        <w:tblPrEx>
          <w:tblCellMar>
            <w:top w:w="0" w:type="dxa"/>
            <w:left w:w="108" w:type="dxa"/>
            <w:bottom w:w="0" w:type="dxa"/>
            <w:right w:w="108" w:type="dxa"/>
          </w:tblCellMar>
        </w:tblPrEx>
        <w:trPr>
          <w:trHeight w:val="520" w:hRule="atLeast"/>
        </w:trPr>
        <w:tc>
          <w:tcPr>
            <w:tcW w:w="14034"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五、专项工作</w:t>
            </w:r>
          </w:p>
        </w:tc>
      </w:tr>
      <w:tr>
        <w:tblPrEx>
          <w:tblCellMar>
            <w:top w:w="0" w:type="dxa"/>
            <w:left w:w="108" w:type="dxa"/>
            <w:bottom w:w="0" w:type="dxa"/>
            <w:right w:w="108" w:type="dxa"/>
          </w:tblCellMar>
        </w:tblPrEx>
        <w:trPr>
          <w:trHeight w:val="13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工程建设规范与标准技术协调及质量审核（2023年度）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和《关于深化工程建设标准化工作改革的意见》工作部署，贯彻落实国家改革发展各项战略方针和政策措施，适应国家工程建设领域行政监管和技术管理需求，开展2023年度工程建设规范和工程建设标准技术协调、调研、论证、质量审核等工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98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工程建设标准定额专项经费管理及绩效管理（2023年度）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开展2023年度财政专项经费预算管理，工程建设规范和标准编制项目合同签订及专项经费支出和管理，年度项目支出绩效自评及绩效评价等工作。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04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工程建设标准化年度发展研究报告（2023年度）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跟踪国际标准化机构和国外相关领域标准化机构的标准化工作动态，分析相关国际标准和国外标准。编制2022年度工程建设标准化发展研究报告。</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城乡建设专项规划标准复审及技术审核（2023年度）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城乡建设专项规划行政监管和技术管理需求，开展标准审查、协调、调研、技术咨询等工作；结合相应团体标准发布信息，对现行城乡建设专项规划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工程勘察与测量标准复审及技术审核（2023年度）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工程勘察与测量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建设综合勘察研究设计院有限公司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建筑设计标准复审及技术审核（2023年度）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设计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建筑地基基础标准复审及技术审核（2023年度）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地基基础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建研地基基础工程有限责任公司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建筑结构（抗震）标准复审及技术审核（2023年度）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结构（抗震）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建研科技股份有限公司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建筑给水排水标准复审及技术审核（2023年度）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给水排水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中国建筑设计研究院有限公司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建筑环境与节能标准复审及技术审核（2023年度）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环境与节能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中国建筑科学研究院有限公司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建筑电气标准复审及技术审核（2023年度）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电气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建筑工程质量标准复审及技术审核（2023年度）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工程质量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中国建筑股份有限公司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建筑施工安全标准复审及技术审核（2023年度）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施工安全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中国建筑科学研究院有限公司建筑机械化研究分院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建筑维护加固与房地产标准复审及技术审核（2023年度）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维护加固与房地产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上海市房地产科学研究院（上海市住宅修缮工程质量检测中心）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市政给水排水标准复审及技术审核（2023年度）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市政给水排水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道路与桥梁标准复审及技术审核（2023年度）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道路与桥梁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北京市市政工程设计研究总院有限公司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燃气标准复审及技术审核（2023年度）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燃气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中国市政工程华北设计研究总院有限公司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36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供热标准复审及技术审核（2023年度）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供热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市容环境卫生标准复审及技术审核（2023年度）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市容环境卫生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上海市环境工程设计科学研究院有限公司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风景园林标准复审及技术审核（2023年度）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风景园林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中国城市建设研究院有限公司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城市轨道交通标准复审及技术审核（2023年度）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市政工程质量安全行政监管和技术管理需求，开展标准审查、协调、调研、技术咨询等工作；结合相应团体标准发布信息，对现行城市轨道交通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中国城市规划设计研究院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信息技术应用标准复审及技术审核（2023年度）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住房城乡建设信息化行政监管和技术管理需求，开展标准审查、协调、调研、技术咨询等工作；结合相应团体标准发布信息，对现行信息技术应用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住房和城乡建设部信息中心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建筑制品与构配件标准复审及技术审核（2023年度）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筑工程质量安全行政监管和技术管理需求，开展标准审查、协调、调研、技术咨询等工作；结合相应团体标准发布信息，对现行建筑制品与构配件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住房和城乡建设部标准定额研究所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中国建筑标准设计研究院有限公司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工程建设国家标准复审（消防工程部分，2023年度）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消防工程质量安全行政监管和技术管理需求，开展标准审查、协调、调研、技术咨询等工作；结合相应团体标准发布信息，对现行消防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住房和城乡建设部、国家消防救援局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住房和城乡建设部建筑节能与科技司、国家消防救援局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应急管理部天津消防研究所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工程建设国家标准复审（水利工程部分，2023年度）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水利工程质量安全行政监管和技术管理需求，开展标准审查、协调、调研、技术咨询等工作；结合相应团体标准发布信息，对现行水利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水利部国际合作与科技司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水利部交通运输部国家能源局南京水利科学研究院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工程建设国家标准复审（公路工程部分，2023年度）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公路工程质量安全行政监管和技术管理需求，开展标准审查、协调、调研、技术咨询等工作；结合相应团体标准发布信息，对现行公路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交通运输部公路局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中国工程建设标准化协会公路分会</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工程建设国家标准复审（水运工程部分，2023年度）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水运工程质量安全行政监管和技术管理需求，开展标准审查、协调、调研、技术咨询等工作；结合相应团体标准发布信息，对现行水运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交通运输部水运局</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中交水运规划设计院有限公司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工程建设国家标准复审（农业工程部分，2023年度）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农业工程质量安全行政监管和技术管理需求，开展标准审查、协调、调研、技术咨询等工作；结合相应团体标准发布信息，对现行农业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农业农村部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农业农村部计划财务司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农业农村部规划设计研究院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工程建设国家标准复审（通信工程部分，2023年度）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通信工程质量安全行政监管和技术管理需求，开展标准审查、协调、调研、技术咨询等工作；结合相应团体标准发布信息，对现行通信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工业和信息化部信息通信发展司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中国通信企业协会</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工程建设国家标准复审（电子工程部分，2023年度）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电子工程质量安全行政监管和技术管理需求，开展标准审查、协调、调研、技术咨询等工作；结合相应团体标准发布信息，对现行电子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中国电子技术标准化研究院电子工程标准定额站</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中国电子技术标准化研究院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工程建设国家标准复审（化工工程部分，2023年度）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化工工程质量安全行政监管和技术管理需求，开展标准审查、协调、调研、技术咨询等工作；结合相应团体标准发布信息，对现行化工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中国石油和化工勘察设计协会</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工程建设国家标准复审（有色金属工程部分，2023年度）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有色金属工程质量安全行政监管和技术管理需求，开展标准审查、协调、调研、技术咨询等工作；结合相应团体标准发布信息，对现行有色金属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中国有色金属工业工程建设标准规范管理处</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中国有色工程有限公司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工程建设国家标准复审（石油天然气工程部分，2023年度）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石油天然气工程质量安全行政监管和技术管理需求，开展标准审查、协调、调研、技术咨询等工作；结合相应团体标准发布信息，对现行石油天然气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中国石油天然气集团有限公司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中国石油天然气股份有限公司规划总院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工程建设国家标准复审（石油化工工程部分，2023年度）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石油化工工程质量安全行政监管和技术管理需求，开展标准审查、协调、调研、技术咨询等工作；结合相应团体标准发布信息，对现行石油化工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中国石油化工集团有限公司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中国石油化工股份有限公司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工程建设国家标准复审（冶金工程部分，2023年度）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冶金工程质量安全行政监管和技术管理需求，开展标准审查、协调、调研、技术咨询等工作；结合相应团体标准发布信息，对现行冶金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中国冶金建设协会</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工程建设国家标准复审（轻工工程部分，2023年度）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轻工工程质量安全行政监管和技术管理需求，开展标准审查、协调、调研、技术咨询等工作；结合相应团体标准发布信息，对现行轻工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中国轻工业联合会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中国轻工业工程建设协会</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工程建设国家标准复审（建材工程部分，2023年度）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建材工程质量安全行政监管和技术管理需求，开展标准审查、协调、调研、技术咨询等工作；结合相应团体标准发布信息，对现行建材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国家建筑材料工业标准定额总站</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中国建筑材料工业规划研究院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工程建设国家标准复审（纺织工程部分，2023年度）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纺织工程质量安全行政监管和技术管理需求，开展标准审查、协调、调研、技术咨询等工作；结合相应团体标准发布信息，对现行纺织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中国纺织工业联合会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中国纺织经济研究中心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工程建设国家标准复审（医疗卫生工程部分，2023年度）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医疗卫生工程质量安全行政监管和技术管理需求，开展标准审查、协调、调研、技术咨询等工作；结合相应团体标准发布信息，对现行医疗卫生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国家卫生健康委</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国家卫生健康委规划发展与信息化司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中国建筑节能协会（绿色医院专业委员会）</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工程建设国家标准复审（林业和草原工程部分，2023年度）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林业工程质量安全行政监管和技术管理需求，开展标准审查、协调、调研、技术咨询等工作；结合相应团体标准发布信息，对现行林业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国家林业和草原局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国家林业和草原局规划财务司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国家林业和草原局调查规划设计院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工程建设国家标准复审（广电工程部分，2023年度）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广电工程质量安全行政监管和技术管理需求，开展标准审查、协调、调研、技术咨询等工作；结合相应团体标准发布信息，对现行广电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国家广播电视总局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国家广播电视总局规划财务司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中广电广播电影电视设计研究院</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工程建设国家标准复审（煤炭工程部分，2023年度）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煤炭工程质量安全行政监管和技术管理需求，开展标准审查、协调、调研、技术咨询等工作；结合相应团体标准发布信息，对现行煤炭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中国煤炭建设协会</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工程建设国家标准复审（电力工程部分，2023年度）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电力工程质量安全行政监管和技术管理需求，开展标准审查、协调、调研、技术咨询等工作；结合相应团体标准发布信息，对现行电力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国家能源局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中国电力企业联合会标准化中心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工程建设国家标准复审（医药工程部分，2023年度）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医药工程质量安全行政监管和技术管理需求，开展标准审查、协调、调研、技术咨询等工作；结合相应团体标准发布信息，对现行医药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中国医药工程设计协会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中国医药工程设计协会</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工程建设国家标准复审（机械工程部分，2023年度）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机械工程质量安全行政监管和技术管理需求，开展标准审查、协调、调研、技术咨询等工作；结合相应团体标准发布信息，对现行机械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工业和信息化部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中国机械工业联合会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中国机械工业勘察设计协会</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工程建设国家标准复审（兵器工程部分，2023年度）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兵器工程质量安全行政监管和技术管理需求，开展标准审查、协调、调研、技术咨询等工作；结合相应团体标准发布信息，对现行兵器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国家国防科技工业局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中国兵器工业集团有限公司 </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中国兵器工业标准化研究所</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工程建设国家标准复审（商贸工程部分，2023年度）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商贸工程质量安全行政监管和技术管理需求，开展标准审查、协调、调研、技术咨询等工作；结合相应团体标准发布信息，对现行商贸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商务部</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中国工程建设标准化协会商贸分会</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华商国际工程有限公司</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工程建设国家标准复审（粮食仓储和物资储备工程部分，2023年度）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粮食仓储和物资储备工程质量安全行政监管和技术管理需求，开展标准审查、协调、调研、技术咨询等工作；结合相应团体标准发布信息，对现行粮食仓储和物资储备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国家粮食和物资储备局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国家粮食和物资储备局标准质量中心</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国家粮食和物资储备局标准质量中心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r>
        <w:tblPrEx>
          <w:tblCellMar>
            <w:top w:w="0" w:type="dxa"/>
            <w:left w:w="108" w:type="dxa"/>
            <w:bottom w:w="0" w:type="dxa"/>
            <w:right w:w="108" w:type="dxa"/>
          </w:tblCellMar>
        </w:tblPrEx>
        <w:trPr>
          <w:trHeight w:val="14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工程建设国家标准复审（核工业工程部分，2023年度）</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专项工作</w:t>
            </w:r>
          </w:p>
        </w:tc>
        <w:tc>
          <w:tcPr>
            <w:tcW w:w="49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照国务院深化标准化工作改革方案要求，落实《关于深化工程建设标准化工作改革的意见》工作部署，结合核工业工程质量安全行政监管和技术管理需求，开展标准审查、协调、调研、技术咨询等工作；结合相应团体标准发布信息，对现行核工业工程标准进行梳理并复审，提出整合、精简、转化建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国家国防科技工业局</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中国核工业集团公司</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中国核工业勘察设计协会</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2023年12月</w:t>
            </w:r>
          </w:p>
        </w:tc>
      </w:tr>
    </w:tbl>
    <w:p/>
    <w:sectPr>
      <w:footerReference r:id="rId3" w:type="default"/>
      <w:pgSz w:w="16838" w:h="11906" w:orient="landscape"/>
      <w:pgMar w:top="1800" w:right="1440" w:bottom="1800" w:left="144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61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OWY1ZTk0OGM2ZjdjMTg0ZmJkMWRmZmU0MzVhMmUifQ=="/>
  </w:docVars>
  <w:rsids>
    <w:rsidRoot w:val="00990A5D"/>
    <w:rsid w:val="001B560D"/>
    <w:rsid w:val="002D0D28"/>
    <w:rsid w:val="00383BE6"/>
    <w:rsid w:val="003E6D85"/>
    <w:rsid w:val="00474A1F"/>
    <w:rsid w:val="00476C28"/>
    <w:rsid w:val="006B3DF9"/>
    <w:rsid w:val="006C2778"/>
    <w:rsid w:val="006D510A"/>
    <w:rsid w:val="00990A5D"/>
    <w:rsid w:val="00B75F11"/>
    <w:rsid w:val="00C04DF1"/>
    <w:rsid w:val="00C21D0D"/>
    <w:rsid w:val="00D43004"/>
    <w:rsid w:val="00DC3CF1"/>
    <w:rsid w:val="00E42B08"/>
    <w:rsid w:val="00F308D0"/>
    <w:rsid w:val="00FD52C4"/>
    <w:rsid w:val="3F672C89"/>
    <w:rsid w:val="718DF5C8"/>
    <w:rsid w:val="F7BB3AF4"/>
    <w:rsid w:val="FBFEAB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101"/>
    <w:basedOn w:val="5"/>
    <w:uiPriority w:val="0"/>
    <w:rPr>
      <w:rFonts w:hint="eastAsia" w:ascii="宋体" w:hAnsi="宋体" w:eastAsia="宋体"/>
      <w:color w:val="000000"/>
      <w:sz w:val="20"/>
      <w:szCs w:val="20"/>
      <w:u w:val="none"/>
    </w:rPr>
  </w:style>
  <w:style w:type="character" w:customStyle="1" w:styleId="7">
    <w:name w:val="font131"/>
    <w:basedOn w:val="5"/>
    <w:uiPriority w:val="0"/>
    <w:rPr>
      <w:rFonts w:hint="eastAsia" w:ascii="宋体" w:hAnsi="宋体" w:eastAsia="宋体"/>
      <w:color w:val="000000"/>
      <w:sz w:val="20"/>
      <w:szCs w:val="20"/>
      <w:u w:val="none"/>
      <w:vertAlign w:val="superscript"/>
    </w:rPr>
  </w:style>
  <w:style w:type="character" w:customStyle="1" w:styleId="8">
    <w:name w:val="页眉 Char"/>
    <w:basedOn w:val="5"/>
    <w:link w:val="3"/>
    <w:uiPriority w:val="99"/>
    <w:rPr>
      <w:sz w:val="18"/>
      <w:szCs w:val="18"/>
    </w:rPr>
  </w:style>
  <w:style w:type="character" w:customStyle="1" w:styleId="9">
    <w:name w:val="font21"/>
    <w:basedOn w:val="5"/>
    <w:qFormat/>
    <w:uiPriority w:val="0"/>
    <w:rPr>
      <w:rFonts w:hint="eastAsia" w:ascii="宋体" w:hAnsi="宋体" w:eastAsia="宋体"/>
      <w:b/>
      <w:bCs/>
      <w:color w:val="000000"/>
      <w:sz w:val="20"/>
      <w:szCs w:val="20"/>
      <w:u w:val="none"/>
    </w:rPr>
  </w:style>
  <w:style w:type="character" w:customStyle="1" w:styleId="10">
    <w:name w:val="font01"/>
    <w:basedOn w:val="5"/>
    <w:uiPriority w:val="0"/>
    <w:rPr>
      <w:rFonts w:hint="eastAsia" w:ascii="宋体" w:hAnsi="宋体" w:eastAsia="宋体"/>
      <w:color w:val="000000"/>
      <w:sz w:val="20"/>
      <w:szCs w:val="20"/>
      <w:u w:val="none"/>
    </w:rPr>
  </w:style>
  <w:style w:type="character" w:customStyle="1" w:styleId="11">
    <w:name w:val="font71"/>
    <w:basedOn w:val="5"/>
    <w:qFormat/>
    <w:uiPriority w:val="0"/>
    <w:rPr>
      <w:rFonts w:hint="eastAsia" w:ascii="宋体" w:hAnsi="宋体" w:eastAsia="宋体"/>
      <w:color w:val="000000"/>
      <w:sz w:val="20"/>
      <w:szCs w:val="20"/>
      <w:u w:val="none"/>
    </w:rPr>
  </w:style>
  <w:style w:type="character" w:customStyle="1" w:styleId="12">
    <w:name w:val="font81"/>
    <w:basedOn w:val="5"/>
    <w:uiPriority w:val="0"/>
    <w:rPr>
      <w:rFonts w:hint="eastAsia" w:ascii="宋体" w:hAnsi="宋体" w:eastAsia="宋体"/>
      <w:color w:val="000000"/>
      <w:sz w:val="20"/>
      <w:szCs w:val="20"/>
      <w:u w:val="none"/>
    </w:rPr>
  </w:style>
  <w:style w:type="character" w:customStyle="1" w:styleId="13">
    <w:name w:val="页脚 Char"/>
    <w:basedOn w:val="5"/>
    <w:link w:val="2"/>
    <w:uiPriority w:val="99"/>
    <w:rPr>
      <w:sz w:val="18"/>
      <w:szCs w:val="18"/>
    </w:rPr>
  </w:style>
  <w:style w:type="character" w:customStyle="1" w:styleId="14">
    <w:name w:val="font121"/>
    <w:basedOn w:val="5"/>
    <w:qFormat/>
    <w:uiPriority w:val="0"/>
    <w:rPr>
      <w:rFonts w:hint="eastAsia" w:ascii="宋体" w:hAnsi="宋体" w:eastAsia="宋体"/>
      <w:strike/>
      <w:color w:val="000000"/>
      <w:sz w:val="20"/>
      <w:szCs w:val="20"/>
    </w:rPr>
  </w:style>
  <w:style w:type="paragraph" w:customStyle="1" w:styleId="15">
    <w:name w:val="et42"/>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16">
    <w:name w:val="et10"/>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
    <w:name w:val="et9"/>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
    <w:name w:val="et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
    <w:name w:val="font6"/>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0">
    <w:name w:val="font5"/>
    <w:basedOn w:val="1"/>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1">
    <w:name w:val="et2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0"/>
      <w:szCs w:val="20"/>
    </w:rPr>
  </w:style>
  <w:style w:type="paragraph" w:customStyle="1" w:styleId="22">
    <w:name w:val="et2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23">
    <w:name w:val="et13"/>
    <w:basedOn w:val="1"/>
    <w:qFormat/>
    <w:uiPriority w:val="0"/>
    <w:pPr>
      <w:widowControl/>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24">
    <w:name w:val="et5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5">
    <w:name w:val="et5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6">
    <w:name w:val="et8"/>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
    <w:name w:val="et14"/>
    <w:basedOn w:val="1"/>
    <w:uiPriority w:val="0"/>
    <w:pPr>
      <w:widowControl/>
      <w:spacing w:before="100" w:beforeAutospacing="1" w:after="100" w:afterAutospacing="1"/>
      <w:jc w:val="center"/>
    </w:pPr>
    <w:rPr>
      <w:rFonts w:ascii="宋体" w:hAnsi="宋体" w:eastAsia="宋体" w:cs="宋体"/>
      <w:b/>
      <w:bCs/>
      <w:color w:val="000000"/>
      <w:kern w:val="0"/>
      <w:sz w:val="24"/>
      <w:szCs w:val="24"/>
    </w:rPr>
  </w:style>
  <w:style w:type="paragraph" w:customStyle="1" w:styleId="28">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9">
    <w:name w:val="et41"/>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30">
    <w:name w:val="et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1">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2">
    <w:name w:val="et16"/>
    <w:basedOn w:val="1"/>
    <w:uiPriority w:val="0"/>
    <w:pPr>
      <w:widowControl/>
      <w:spacing w:before="100" w:beforeAutospacing="1" w:after="100" w:afterAutospacing="1"/>
      <w:jc w:val="center"/>
    </w:pPr>
    <w:rPr>
      <w:rFonts w:ascii="宋体" w:hAnsi="宋体" w:eastAsia="宋体" w:cs="宋体"/>
      <w:b/>
      <w:bCs/>
      <w:color w:val="000000"/>
      <w:kern w:val="0"/>
      <w:sz w:val="24"/>
      <w:szCs w:val="24"/>
    </w:rPr>
  </w:style>
  <w:style w:type="paragraph" w:customStyle="1" w:styleId="33">
    <w:name w:val="et22"/>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34">
    <w:name w:val="et2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35">
    <w:name w:val="font0"/>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6">
    <w:name w:val="et34"/>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37">
    <w:name w:val="et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et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9">
    <w:name w:val="et2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0">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41">
    <w:name w:val="font12"/>
    <w:basedOn w:val="1"/>
    <w:qFormat/>
    <w:uiPriority w:val="0"/>
    <w:pPr>
      <w:widowControl/>
      <w:spacing w:before="100" w:beforeAutospacing="1" w:after="100" w:afterAutospacing="1"/>
      <w:jc w:val="left"/>
    </w:pPr>
    <w:rPr>
      <w:rFonts w:ascii="宋体" w:hAnsi="宋体" w:eastAsia="宋体" w:cs="宋体"/>
      <w:strike/>
      <w:color w:val="000000"/>
      <w:kern w:val="0"/>
      <w:sz w:val="20"/>
      <w:szCs w:val="20"/>
    </w:rPr>
  </w:style>
  <w:style w:type="paragraph" w:customStyle="1" w:styleId="42">
    <w:name w:val="font11"/>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43">
    <w:name w:val="et15"/>
    <w:basedOn w:val="1"/>
    <w:qFormat/>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44">
    <w:name w:val="et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et6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6">
    <w:name w:val="et6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47">
    <w:name w:val="et2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8">
    <w:name w:val="et3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9">
    <w:name w:val="et3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50">
    <w:name w:val="font10"/>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51">
    <w:name w:val="et47"/>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52">
    <w:name w:val="font1"/>
    <w:basedOn w:val="1"/>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53">
    <w:name w:val="et1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54">
    <w:name w:val="et17"/>
    <w:basedOn w:val="1"/>
    <w:qFormat/>
    <w:uiPriority w:val="0"/>
    <w:pPr>
      <w:widowControl/>
      <w:spacing w:before="100" w:beforeAutospacing="1" w:after="100" w:afterAutospacing="1"/>
      <w:jc w:val="left"/>
    </w:pPr>
    <w:rPr>
      <w:rFonts w:ascii="宋体" w:hAnsi="宋体" w:eastAsia="宋体" w:cs="宋体"/>
      <w:b/>
      <w:bCs/>
      <w:color w:val="000000"/>
      <w:kern w:val="0"/>
      <w:sz w:val="24"/>
      <w:szCs w:val="24"/>
    </w:rPr>
  </w:style>
  <w:style w:type="paragraph" w:customStyle="1" w:styleId="55">
    <w:name w:val="et6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56">
    <w:name w:val="font2"/>
    <w:basedOn w:val="1"/>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57">
    <w:name w:val="et50"/>
    <w:basedOn w:val="1"/>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8">
    <w:name w:val="et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9">
    <w:name w:val="font13"/>
    <w:basedOn w:val="1"/>
    <w:uiPriority w:val="0"/>
    <w:pPr>
      <w:widowControl/>
      <w:spacing w:before="100" w:beforeAutospacing="1" w:after="100" w:afterAutospacing="1"/>
      <w:jc w:val="left"/>
    </w:pPr>
    <w:rPr>
      <w:rFonts w:ascii="宋体" w:hAnsi="宋体" w:eastAsia="宋体" w:cs="宋体"/>
      <w:color w:val="000000"/>
      <w:kern w:val="0"/>
      <w:sz w:val="20"/>
      <w:szCs w:val="20"/>
      <w:vertAlign w:val="superscript"/>
    </w:rPr>
  </w:style>
  <w:style w:type="paragraph" w:customStyle="1" w:styleId="60">
    <w:name w:val="et45"/>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61">
    <w:name w:val="font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62">
    <w:name w:val="et51"/>
    <w:basedOn w:val="1"/>
    <w:uiPriority w:val="0"/>
    <w:pPr>
      <w:widowControl/>
      <w:pBdr>
        <w:top w:val="single" w:color="000000" w:sz="4" w:space="0"/>
        <w:bottom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3">
    <w:name w:val="font9"/>
    <w:basedOn w:val="1"/>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64">
    <w:name w:val="font8"/>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65">
    <w:name w:val="et6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6">
    <w:name w:val="et5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7">
    <w:name w:val="et60"/>
    <w:basedOn w:val="1"/>
    <w:uiPriority w:val="0"/>
    <w:pPr>
      <w:widowControl/>
      <w:spacing w:before="100" w:beforeAutospacing="1" w:after="100" w:afterAutospacing="1"/>
      <w:jc w:val="center"/>
    </w:pPr>
    <w:rPr>
      <w:rFonts w:ascii="宋体" w:hAnsi="宋体" w:eastAsia="宋体" w:cs="宋体"/>
      <w:color w:val="000000"/>
      <w:kern w:val="0"/>
      <w:sz w:val="20"/>
      <w:szCs w:val="20"/>
    </w:rPr>
  </w:style>
  <w:style w:type="paragraph" w:customStyle="1" w:styleId="68">
    <w:name w:val="et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9">
    <w:name w:val="et11"/>
    <w:basedOn w:val="1"/>
    <w:uiPriority w:val="0"/>
    <w:pPr>
      <w:widowControl/>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70">
    <w:name w:val="et48"/>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71">
    <w:name w:val="font7"/>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2">
    <w:name w:val="et4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73">
    <w:name w:val="et43"/>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74">
    <w:name w:val="font3"/>
    <w:basedOn w:val="1"/>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75">
    <w:name w:val="et5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76">
    <w:name w:val="et2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77">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78">
    <w:name w:val="et46"/>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79">
    <w:name w:val="et52"/>
    <w:basedOn w:val="1"/>
    <w:uiPriority w:val="0"/>
    <w:pPr>
      <w:widowControl/>
      <w:pBdr>
        <w:top w:val="single" w:color="000000" w:sz="4" w:space="0"/>
        <w:bottom w:val="single" w:color="000000" w:sz="4" w:space="0"/>
      </w:pBdr>
      <w:spacing w:before="100" w:beforeAutospacing="1" w:after="100" w:afterAutospacing="1"/>
      <w:jc w:val="center"/>
    </w:pPr>
    <w:rPr>
      <w:rFonts w:ascii="宋体" w:hAnsi="宋体" w:eastAsia="宋体" w:cs="宋体"/>
      <w:color w:val="000000"/>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61</Pages>
  <Words>34245</Words>
  <Characters>37763</Characters>
  <Lines>281</Lines>
  <Paragraphs>79</Paragraphs>
  <TotalTime>13</TotalTime>
  <ScaleCrop>false</ScaleCrop>
  <LinksUpToDate>false</LinksUpToDate>
  <CharactersWithSpaces>37860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2023-02-22T22:05:00Z</dcterms:created>
  <dc:creator>bmn</dc:creator>
  <cp:lastModifiedBy>俊俊的</cp:lastModifiedBy>
  <cp:lastPrinted>2023-03-02T15:50:06Z</cp:lastPrinted>
  <dcterms:modified xsi:type="dcterms:W3CDTF">2023-03-10T02:20:42Z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6352EE74F18C4C2EB59195117C3F6E3D</vt:lpwstr>
  </property>
</Properties>
</file>