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980"/>
        </w:tabs>
        <w:snapToGrid w:val="0"/>
        <w:spacing w:after="156" w:afterLines="50" w:line="520" w:lineRule="exact"/>
        <w:jc w:val="both"/>
        <w:rPr>
          <w:rFonts w:hint="eastAsia" w:ascii="黑体" w:hAnsi="黑体" w:eastAsia="黑体" w:cs="黑体"/>
          <w:sz w:val="30"/>
          <w:szCs w:val="30"/>
          <w:lang w:eastAsia="zh-CN" w:bidi="ar"/>
        </w:rPr>
      </w:pPr>
      <w:bookmarkStart w:id="0" w:name="_GoBack"/>
      <w:bookmarkEnd w:id="0"/>
      <w:r>
        <w:rPr>
          <w:rFonts w:hint="eastAsia" w:ascii="黑体" w:hAnsi="黑体" w:eastAsia="黑体" w:cs="黑体"/>
          <w:sz w:val="30"/>
          <w:szCs w:val="30"/>
          <w:lang w:eastAsia="zh-CN" w:bidi="ar"/>
        </w:rPr>
        <w:t>附件</w:t>
      </w:r>
    </w:p>
    <w:p>
      <w:pPr>
        <w:pStyle w:val="5"/>
        <w:tabs>
          <w:tab w:val="left" w:pos="1980"/>
        </w:tabs>
        <w:snapToGrid w:val="0"/>
        <w:spacing w:after="156" w:afterLines="50" w:line="520" w:lineRule="exact"/>
        <w:jc w:val="center"/>
        <w:rPr>
          <w:rFonts w:hint="eastAsia" w:ascii="方正小标宋_GBK" w:hAnsi="方正小标宋_GBK" w:eastAsia="方正小标宋_GBK" w:cs="方正小标宋_GBK"/>
          <w:color w:val="000000"/>
          <w:sz w:val="44"/>
          <w:szCs w:val="44"/>
          <w:lang w:bidi="ar"/>
        </w:rPr>
      </w:pPr>
      <w:r>
        <w:rPr>
          <w:rFonts w:hint="eastAsia" w:ascii="方正小标宋_GBK" w:hAnsi="方正小标宋_GBK" w:eastAsia="方正小标宋_GBK" w:cs="方正小标宋_GBK"/>
          <w:sz w:val="44"/>
          <w:szCs w:val="44"/>
          <w:lang w:bidi="ar"/>
        </w:rPr>
        <w:t>广州市建设工程消防市场主体单位信用评价分值计算规则</w:t>
      </w:r>
    </w:p>
    <w:p>
      <w:pPr>
        <w:pStyle w:val="5"/>
        <w:tabs>
          <w:tab w:val="left" w:pos="1980"/>
        </w:tabs>
        <w:snapToGrid w:val="0"/>
        <w:spacing w:after="156" w:afterLines="50" w:line="520" w:lineRule="exact"/>
      </w:pPr>
      <w:r>
        <w:rPr>
          <w:rFonts w:hint="eastAsia" w:ascii="黑体" w:hAnsi="黑体" w:eastAsia="黑体" w:cs="黑体"/>
          <w:color w:val="000000"/>
          <w:sz w:val="32"/>
          <w:szCs w:val="32"/>
          <w:lang w:bidi="ar"/>
        </w:rPr>
        <w:t>（一）建设单位</w:t>
      </w:r>
    </w:p>
    <w:tbl>
      <w:tblPr>
        <w:tblStyle w:val="3"/>
        <w:tblpPr w:leftFromText="180" w:rightFromText="180" w:vertAnchor="text" w:horzAnchor="page" w:tblpX="1569" w:tblpY="91"/>
        <w:tblOverlap w:val="never"/>
        <w:tblW w:w="14171" w:type="dxa"/>
        <w:tblInd w:w="0" w:type="dxa"/>
        <w:tblLayout w:type="autofit"/>
        <w:tblCellMar>
          <w:top w:w="0" w:type="dxa"/>
          <w:left w:w="108" w:type="dxa"/>
          <w:bottom w:w="0" w:type="dxa"/>
          <w:right w:w="108" w:type="dxa"/>
        </w:tblCellMar>
      </w:tblPr>
      <w:tblGrid>
        <w:gridCol w:w="1241"/>
        <w:gridCol w:w="1200"/>
        <w:gridCol w:w="1755"/>
        <w:gridCol w:w="4928"/>
        <w:gridCol w:w="5047"/>
      </w:tblGrid>
      <w:tr>
        <w:tblPrEx>
          <w:tblCellMar>
            <w:top w:w="0" w:type="dxa"/>
            <w:left w:w="108" w:type="dxa"/>
            <w:bottom w:w="0" w:type="dxa"/>
            <w:right w:w="108" w:type="dxa"/>
          </w:tblCellMar>
        </w:tblPrEx>
        <w:trPr>
          <w:trHeight w:val="350" w:hRule="atLeast"/>
        </w:trPr>
        <w:tc>
          <w:tcPr>
            <w:tcW w:w="12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计分项目</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评价分类</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计分有效期</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计分情形</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计分规则</w:t>
            </w:r>
          </w:p>
        </w:tc>
      </w:tr>
      <w:tr>
        <w:tblPrEx>
          <w:tblCellMar>
            <w:top w:w="0" w:type="dxa"/>
            <w:left w:w="108" w:type="dxa"/>
            <w:bottom w:w="0" w:type="dxa"/>
            <w:right w:w="108" w:type="dxa"/>
          </w:tblCellMar>
        </w:tblPrEx>
        <w:trPr>
          <w:trHeight w:val="472" w:hRule="atLeast"/>
        </w:trPr>
        <w:tc>
          <w:tcPr>
            <w:tcW w:w="12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基础分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基本信息</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有效期与企业存续期限一致</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企业基本信息</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信用</w:t>
            </w:r>
            <w:r>
              <w:rPr>
                <w:rFonts w:hint="eastAsia" w:ascii="CESI仿宋-GB2312" w:hAnsi="CESI仿宋-GB2312" w:eastAsia="CESI仿宋-GB2312" w:cs="CESI仿宋-GB2312"/>
                <w:color w:val="000000"/>
                <w:kern w:val="0"/>
                <w:sz w:val="18"/>
                <w:szCs w:val="18"/>
                <w:lang w:val="en-US" w:eastAsia="zh-CN" w:bidi="ar"/>
              </w:rPr>
              <w:t>平台</w:t>
            </w:r>
            <w:r>
              <w:rPr>
                <w:rFonts w:ascii="CESI仿宋-GB2312" w:hAnsi="CESI仿宋-GB2312" w:eastAsia="CESI仿宋-GB2312" w:cs="CESI仿宋-GB2312"/>
                <w:color w:val="000000"/>
                <w:kern w:val="0"/>
                <w:sz w:val="18"/>
                <w:szCs w:val="18"/>
                <w:lang w:bidi="ar"/>
              </w:rPr>
              <w:t>获取信息即可获得</w:t>
            </w:r>
            <w:r>
              <w:rPr>
                <w:rFonts w:hint="eastAsia" w:ascii="CESI仿宋-GB2312" w:hAnsi="CESI仿宋-GB2312" w:eastAsia="CESI仿宋-GB2312" w:cs="CESI仿宋-GB2312"/>
                <w:color w:val="000000"/>
                <w:kern w:val="0"/>
                <w:sz w:val="18"/>
                <w:szCs w:val="18"/>
                <w:lang w:bidi="ar"/>
              </w:rPr>
              <w:t>70</w:t>
            </w:r>
            <w:r>
              <w:rPr>
                <w:rFonts w:ascii="CESI仿宋-GB2312" w:hAnsi="CESI仿宋-GB2312" w:eastAsia="CESI仿宋-GB2312" w:cs="CESI仿宋-GB2312"/>
                <w:color w:val="000000"/>
                <w:kern w:val="0"/>
                <w:sz w:val="18"/>
                <w:szCs w:val="18"/>
                <w:lang w:bidi="ar"/>
              </w:rPr>
              <w:t>分</w:t>
            </w:r>
          </w:p>
        </w:tc>
      </w:tr>
      <w:tr>
        <w:tblPrEx>
          <w:tblCellMar>
            <w:top w:w="0" w:type="dxa"/>
            <w:left w:w="108" w:type="dxa"/>
            <w:bottom w:w="0" w:type="dxa"/>
            <w:right w:w="108" w:type="dxa"/>
          </w:tblCellMar>
        </w:tblPrEx>
        <w:trPr>
          <w:trHeight w:val="736" w:hRule="atLeast"/>
        </w:trPr>
        <w:tc>
          <w:tcPr>
            <w:tcW w:w="1241" w:type="dxa"/>
            <w:vMerge w:val="restart"/>
            <w:tcBorders>
              <w:left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p>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业务能力</w:t>
            </w:r>
          </w:p>
          <w:p>
            <w:pPr>
              <w:widowControl/>
              <w:jc w:val="center"/>
              <w:textAlignment w:val="center"/>
              <w:rPr>
                <w:rFonts w:ascii="CESI仿宋-GB2312" w:hAnsi="CESI仿宋-GB2312" w:eastAsia="CESI仿宋-GB2312" w:cs="CESI仿宋-GB2312"/>
                <w:strike/>
                <w:color w:val="000000"/>
                <w:kern w:val="0"/>
                <w:sz w:val="18"/>
                <w:szCs w:val="18"/>
                <w:lang w:bidi="ar"/>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strike/>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strike/>
                <w:color w:val="000000"/>
                <w:kern w:val="0"/>
                <w:sz w:val="18"/>
                <w:szCs w:val="18"/>
                <w:lang w:bidi="ar"/>
              </w:rPr>
            </w:pPr>
            <w:r>
              <w:rPr>
                <w:rFonts w:hint="eastAsia" w:ascii="CESI仿宋-GB2312" w:hAnsi="CESI仿宋-GB2312" w:eastAsia="CESI仿宋-GB2312" w:cs="CESI仿宋-GB2312"/>
                <w:color w:val="000000"/>
                <w:kern w:val="0"/>
                <w:sz w:val="18"/>
                <w:szCs w:val="18"/>
                <w:lang w:bidi="ar"/>
              </w:rPr>
              <w:t>办理消防设计审查、验收以及备案的良好表现</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pPr>
            <w:r>
              <w:rPr>
                <w:rFonts w:hint="eastAsia" w:ascii="CESI仿宋-GB2312" w:hAnsi="CESI仿宋-GB2312" w:eastAsia="CESI仿宋-GB2312" w:cs="CESI仿宋-GB2312"/>
                <w:kern w:val="0"/>
                <w:sz w:val="18"/>
                <w:szCs w:val="18"/>
                <w:lang w:bidi="ar"/>
              </w:rPr>
              <w:t>参建项目申请消防设计审查或消防验收或消防验收备案时，资料齐全，内容完整且不存在违反强制性技术规定情形，能够一次性通过的，每宗加1分。</w:t>
            </w:r>
          </w:p>
        </w:tc>
      </w:tr>
      <w:tr>
        <w:tblPrEx>
          <w:tblCellMar>
            <w:top w:w="0" w:type="dxa"/>
            <w:left w:w="108" w:type="dxa"/>
            <w:bottom w:w="0" w:type="dxa"/>
            <w:right w:w="108" w:type="dxa"/>
          </w:tblCellMar>
        </w:tblPrEx>
        <w:trPr>
          <w:trHeight w:val="270" w:hRule="atLeast"/>
        </w:trPr>
        <w:tc>
          <w:tcPr>
            <w:tcW w:w="1241" w:type="dxa"/>
            <w:vMerge w:val="continue"/>
            <w:tcBorders>
              <w:left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荣誉表彰</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建设工程消防相关奖项（市级以上）</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获得市级政府部门表彰、奖励的，每项加3分；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2、获得省、部级政府部门表彰、奖励，每项加5分；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3、获得国家级表彰、奖励</w:t>
            </w:r>
            <w:r>
              <w:rPr>
                <w:rFonts w:hint="eastAsia" w:ascii="CESI仿宋-GB2312" w:hAnsi="CESI仿宋-GB2312" w:eastAsia="CESI仿宋-GB2312" w:cs="CESI仿宋-GB2312"/>
                <w:color w:val="000000"/>
                <w:kern w:val="0"/>
                <w:sz w:val="18"/>
                <w:szCs w:val="18"/>
                <w:lang w:bidi="ar"/>
              </w:rPr>
              <w:t>的，</w:t>
            </w:r>
            <w:r>
              <w:rPr>
                <w:rFonts w:ascii="CESI仿宋-GB2312" w:hAnsi="CESI仿宋-GB2312" w:eastAsia="CESI仿宋-GB2312" w:cs="CESI仿宋-GB2312"/>
                <w:color w:val="000000"/>
                <w:kern w:val="0"/>
                <w:sz w:val="18"/>
                <w:szCs w:val="18"/>
                <w:lang w:bidi="ar"/>
              </w:rPr>
              <w:t>每项加7分.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以上累计</w:t>
            </w:r>
            <w:r>
              <w:rPr>
                <w:rFonts w:hint="eastAsia" w:ascii="CESI仿宋-GB2312" w:hAnsi="CESI仿宋-GB2312" w:eastAsia="CESI仿宋-GB2312" w:cs="CESI仿宋-GB2312"/>
                <w:color w:val="000000"/>
                <w:kern w:val="0"/>
                <w:sz w:val="18"/>
                <w:szCs w:val="18"/>
                <w:lang w:bidi="ar"/>
              </w:rPr>
              <w:t>有效</w:t>
            </w:r>
            <w:r>
              <w:rPr>
                <w:rFonts w:ascii="CESI仿宋-GB2312" w:hAnsi="CESI仿宋-GB2312" w:eastAsia="CESI仿宋-GB2312" w:cs="CESI仿宋-GB2312"/>
                <w:color w:val="000000"/>
                <w:kern w:val="0"/>
                <w:sz w:val="18"/>
                <w:szCs w:val="18"/>
                <w:lang w:bidi="ar"/>
              </w:rPr>
              <w:t>加分不得超过10分。</w:t>
            </w:r>
          </w:p>
        </w:tc>
      </w:tr>
      <w:tr>
        <w:tblPrEx>
          <w:tblCellMar>
            <w:top w:w="0" w:type="dxa"/>
            <w:left w:w="108" w:type="dxa"/>
            <w:bottom w:w="0" w:type="dxa"/>
            <w:right w:w="108" w:type="dxa"/>
          </w:tblCellMar>
        </w:tblPrEx>
        <w:trPr>
          <w:trHeight w:val="675" w:hRule="atLeast"/>
        </w:trPr>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技术成果</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参与编制建设工程消防领域标准（规范、技术指引）、取得建设工程消防领域的科研成果等</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参与编写国家、行业、地方建设工程消防领域技术标准并发布实施的，每项加</w:t>
            </w:r>
            <w:r>
              <w:rPr>
                <w:rFonts w:hint="eastAsia" w:ascii="CESI仿宋-GB2312" w:hAnsi="CESI仿宋-GB2312" w:eastAsia="CESI仿宋-GB2312" w:cs="CESI仿宋-GB2312"/>
                <w:color w:val="000000"/>
                <w:kern w:val="0"/>
                <w:sz w:val="18"/>
                <w:szCs w:val="18"/>
                <w:lang w:bidi="ar"/>
              </w:rPr>
              <w:t>3</w:t>
            </w:r>
            <w:r>
              <w:rPr>
                <w:rFonts w:ascii="CESI仿宋-GB2312" w:hAnsi="CESI仿宋-GB2312" w:eastAsia="CESI仿宋-GB2312" w:cs="CESI仿宋-GB2312"/>
                <w:color w:val="000000"/>
                <w:kern w:val="0"/>
                <w:sz w:val="18"/>
                <w:szCs w:val="18"/>
                <w:lang w:bidi="ar"/>
              </w:rPr>
              <w:t>分</w:t>
            </w:r>
            <w:r>
              <w:rPr>
                <w:rFonts w:hint="eastAsia" w:ascii="CESI仿宋-GB2312" w:hAnsi="CESI仿宋-GB2312" w:eastAsia="CESI仿宋-GB2312" w:cs="CESI仿宋-GB2312"/>
                <w:color w:val="000000"/>
                <w:kern w:val="0"/>
                <w:sz w:val="18"/>
                <w:szCs w:val="18"/>
                <w:lang w:bidi="ar"/>
              </w:rPr>
              <w:t>;</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2、取得建设工程消防领域行业发明专利</w:t>
            </w:r>
            <w:r>
              <w:rPr>
                <w:rFonts w:hint="eastAsia" w:ascii="CESI仿宋-GB2312" w:hAnsi="CESI仿宋-GB2312" w:eastAsia="CESI仿宋-GB2312" w:cs="CESI仿宋-GB2312"/>
                <w:color w:val="000000"/>
                <w:kern w:val="0"/>
                <w:sz w:val="18"/>
                <w:szCs w:val="18"/>
                <w:lang w:bidi="ar"/>
              </w:rPr>
              <w:t>的，</w:t>
            </w:r>
            <w:r>
              <w:rPr>
                <w:rFonts w:ascii="CESI仿宋-GB2312" w:hAnsi="CESI仿宋-GB2312" w:eastAsia="CESI仿宋-GB2312" w:cs="CESI仿宋-GB2312"/>
                <w:color w:val="000000"/>
                <w:kern w:val="0"/>
                <w:sz w:val="18"/>
                <w:szCs w:val="18"/>
                <w:lang w:bidi="ar"/>
              </w:rPr>
              <w:t>每项加</w:t>
            </w:r>
            <w:r>
              <w:rPr>
                <w:rFonts w:hint="eastAsia" w:ascii="CESI仿宋-GB2312" w:hAnsi="CESI仿宋-GB2312" w:eastAsia="CESI仿宋-GB2312" w:cs="CESI仿宋-GB2312"/>
                <w:color w:val="000000"/>
                <w:kern w:val="0"/>
                <w:sz w:val="18"/>
                <w:szCs w:val="18"/>
                <w:lang w:bidi="ar"/>
              </w:rPr>
              <w:t>5</w:t>
            </w:r>
            <w:r>
              <w:rPr>
                <w:rFonts w:ascii="CESI仿宋-GB2312" w:hAnsi="CESI仿宋-GB2312" w:eastAsia="CESI仿宋-GB2312" w:cs="CESI仿宋-GB2312"/>
                <w:color w:val="000000"/>
                <w:kern w:val="0"/>
                <w:sz w:val="18"/>
                <w:szCs w:val="18"/>
                <w:lang w:bidi="ar"/>
              </w:rPr>
              <w:t>分</w:t>
            </w:r>
            <w:r>
              <w:rPr>
                <w:rFonts w:hint="eastAsia" w:ascii="CESI仿宋-GB2312" w:hAnsi="CESI仿宋-GB2312" w:eastAsia="CESI仿宋-GB2312" w:cs="CESI仿宋-GB2312"/>
                <w:color w:val="000000"/>
                <w:kern w:val="0"/>
                <w:sz w:val="18"/>
                <w:szCs w:val="18"/>
                <w:lang w:bidi="ar"/>
              </w:rPr>
              <w:t>；</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以上</w:t>
            </w:r>
            <w:r>
              <w:rPr>
                <w:rFonts w:ascii="CESI仿宋-GB2312" w:hAnsi="CESI仿宋-GB2312" w:eastAsia="CESI仿宋-GB2312" w:cs="CESI仿宋-GB2312"/>
                <w:color w:val="000000"/>
                <w:kern w:val="0"/>
                <w:sz w:val="18"/>
                <w:szCs w:val="18"/>
                <w:lang w:bidi="ar"/>
              </w:rPr>
              <w:t>累计</w:t>
            </w:r>
            <w:r>
              <w:rPr>
                <w:rFonts w:hint="eastAsia" w:ascii="CESI仿宋-GB2312" w:hAnsi="CESI仿宋-GB2312" w:eastAsia="CESI仿宋-GB2312" w:cs="CESI仿宋-GB2312"/>
                <w:color w:val="000000"/>
                <w:kern w:val="0"/>
                <w:sz w:val="18"/>
                <w:szCs w:val="18"/>
                <w:lang w:bidi="ar"/>
              </w:rPr>
              <w:t>有效</w:t>
            </w:r>
            <w:r>
              <w:rPr>
                <w:rFonts w:ascii="CESI仿宋-GB2312" w:hAnsi="CESI仿宋-GB2312" w:eastAsia="CESI仿宋-GB2312" w:cs="CESI仿宋-GB2312"/>
                <w:color w:val="000000"/>
                <w:kern w:val="0"/>
                <w:sz w:val="18"/>
                <w:szCs w:val="18"/>
                <w:lang w:bidi="ar"/>
              </w:rPr>
              <w:t>加分不得超过10分。</w:t>
            </w:r>
          </w:p>
        </w:tc>
      </w:tr>
      <w:tr>
        <w:tblPrEx>
          <w:tblCellMar>
            <w:top w:w="0" w:type="dxa"/>
            <w:left w:w="108" w:type="dxa"/>
            <w:bottom w:w="0" w:type="dxa"/>
            <w:right w:w="108" w:type="dxa"/>
          </w:tblCellMar>
        </w:tblPrEx>
        <w:trPr>
          <w:trHeight w:val="450" w:hRule="atLeast"/>
        </w:trPr>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扣分项</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履约践诺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承诺不实或不履行承诺的</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发现适用告知承诺制</w:t>
            </w:r>
            <w:r>
              <w:rPr>
                <w:rFonts w:hint="eastAsia" w:ascii="CESI仿宋-GB2312" w:hAnsi="CESI仿宋-GB2312" w:eastAsia="CESI仿宋-GB2312" w:cs="CESI仿宋-GB2312"/>
                <w:color w:val="000000"/>
                <w:kern w:val="0"/>
                <w:sz w:val="18"/>
                <w:szCs w:val="18"/>
                <w:lang w:bidi="ar"/>
              </w:rPr>
              <w:t>时</w:t>
            </w:r>
            <w:r>
              <w:rPr>
                <w:rFonts w:ascii="CESI仿宋-GB2312" w:hAnsi="CESI仿宋-GB2312" w:eastAsia="CESI仿宋-GB2312" w:cs="CESI仿宋-GB2312"/>
                <w:color w:val="000000"/>
                <w:kern w:val="0"/>
                <w:sz w:val="18"/>
                <w:szCs w:val="18"/>
                <w:lang w:bidi="ar"/>
              </w:rPr>
              <w:t>承诺不实或不履行承诺，尚未被处罚的，每次扣1分，扣分上限10分。</w:t>
            </w:r>
          </w:p>
        </w:tc>
      </w:tr>
      <w:tr>
        <w:tblPrEx>
          <w:tblCellMar>
            <w:top w:w="0" w:type="dxa"/>
            <w:left w:w="108" w:type="dxa"/>
            <w:bottom w:w="0" w:type="dxa"/>
            <w:right w:w="108" w:type="dxa"/>
          </w:tblCellMar>
        </w:tblPrEx>
        <w:trPr>
          <w:trHeight w:val="2050" w:hRule="atLeast"/>
        </w:trPr>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行政处罚</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有效期至处罚信息被依法停止公示</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受到与建设工程消防有关的行政处罚。</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1、受到行政处罚，按《广东省住房和城乡建设系统行政处罚自由裁量权基准》，裁量档次属于从轻的</w:t>
            </w:r>
            <w:r>
              <w:rPr>
                <w:rFonts w:ascii="CESI仿宋-GB2312" w:hAnsi="CESI仿宋-GB2312" w:eastAsia="CESI仿宋-GB2312" w:cs="CESI仿宋-GB2312"/>
                <w:color w:val="000000"/>
                <w:kern w:val="0"/>
                <w:sz w:val="18"/>
                <w:szCs w:val="18"/>
                <w:lang w:bidi="ar"/>
              </w:rPr>
              <w:t>，每次扣5分；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w:t>
            </w:r>
            <w:r>
              <w:rPr>
                <w:rFonts w:ascii="CESI仿宋-GB2312" w:hAnsi="CESI仿宋-GB2312" w:eastAsia="CESI仿宋-GB2312" w:cs="CESI仿宋-GB2312"/>
                <w:color w:val="000000"/>
                <w:kern w:val="0"/>
                <w:sz w:val="18"/>
                <w:szCs w:val="18"/>
                <w:lang w:bidi="ar"/>
              </w:rPr>
              <w:t>一般的，每次扣10分；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3、</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受到行政处罚，按《广东省住房和城乡建设系统行政处罚自由裁量权基准》，裁量档次属于从重</w:t>
            </w:r>
            <w:r>
              <w:rPr>
                <w:rFonts w:ascii="CESI仿宋-GB2312" w:hAnsi="CESI仿宋-GB2312" w:eastAsia="CESI仿宋-GB2312" w:cs="CESI仿宋-GB2312"/>
                <w:color w:val="000000"/>
                <w:kern w:val="0"/>
                <w:sz w:val="18"/>
                <w:szCs w:val="18"/>
                <w:lang w:bidi="ar"/>
              </w:rPr>
              <w:t>的，每次扣20分。</w:t>
            </w:r>
          </w:p>
        </w:tc>
      </w:tr>
      <w:tr>
        <w:tblPrEx>
          <w:tblCellMar>
            <w:top w:w="0" w:type="dxa"/>
            <w:left w:w="108" w:type="dxa"/>
            <w:bottom w:w="0" w:type="dxa"/>
            <w:right w:w="108" w:type="dxa"/>
          </w:tblCellMar>
        </w:tblPrEx>
        <w:trPr>
          <w:trHeight w:val="4946" w:hRule="atLeast"/>
        </w:trPr>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不规范行为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有效期至不规范行为已确认整改（不改正</w:t>
            </w:r>
            <w:r>
              <w:rPr>
                <w:rFonts w:ascii="CESI仿宋-GB2312" w:hAnsi="CESI仿宋-GB2312" w:eastAsia="CESI仿宋-GB2312" w:cs="CESI仿宋-GB2312"/>
                <w:color w:val="000000"/>
                <w:kern w:val="0"/>
                <w:sz w:val="18"/>
                <w:szCs w:val="18"/>
                <w:lang w:bidi="ar"/>
              </w:rPr>
              <w:t>的，</w:t>
            </w:r>
            <w:r>
              <w:rPr>
                <w:rFonts w:hint="eastAsia" w:ascii="CESI仿宋-GB2312" w:hAnsi="CESI仿宋-GB2312" w:eastAsia="CESI仿宋-GB2312" w:cs="CESI仿宋-GB2312"/>
                <w:color w:val="000000"/>
                <w:kern w:val="0"/>
                <w:sz w:val="18"/>
                <w:szCs w:val="18"/>
                <w:lang w:bidi="ar"/>
              </w:rPr>
              <w:t>12个月后</w:t>
            </w:r>
            <w:r>
              <w:rPr>
                <w:rFonts w:ascii="CESI仿宋-GB2312" w:hAnsi="CESI仿宋-GB2312" w:eastAsia="CESI仿宋-GB2312" w:cs="CESI仿宋-GB2312"/>
                <w:color w:val="000000"/>
                <w:kern w:val="0"/>
                <w:sz w:val="18"/>
                <w:szCs w:val="18"/>
                <w:lang w:bidi="ar"/>
              </w:rPr>
              <w:t>清零</w:t>
            </w:r>
            <w:r>
              <w:rPr>
                <w:rFonts w:hint="eastAsia" w:ascii="CESI仿宋-GB2312" w:hAnsi="CESI仿宋-GB2312" w:eastAsia="CESI仿宋-GB2312" w:cs="CESI仿宋-GB2312"/>
                <w:color w:val="000000"/>
                <w:kern w:val="0"/>
                <w:sz w:val="18"/>
                <w:szCs w:val="18"/>
                <w:lang w:bidi="ar"/>
              </w:rPr>
              <w:t>）</w:t>
            </w:r>
          </w:p>
        </w:tc>
        <w:tc>
          <w:tcPr>
            <w:tcW w:w="492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存在以下情形但未达到行政处罚立案条件的：</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明示或者暗示设计、施工、工程监理、技术服务等单位及其从业人员降低建设工程消防设计、施工质量。</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2.未按相关要求申请建设工程消防设计审查、消防验收、消防验收备案，并接受抽查的。</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3.实行工程监理的建设工程，未将消防施工质量委托监理的。</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4.未委托具有相应资质的设计、施工、工程监理单位，未按照工程消防设计要求和合同约定，选用合格的消防产品和满足防火性能要求的建筑材料、建筑构配件和设备的。</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5.组织有关单位进行建设工程竣工验收时，未按要求对建设工程是否符合消防要求进行查验的。</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6.未及时向档案管理机构移交建设工程消防有关档案的。</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7.擅自修改经审查合格的消防设计文件。</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8.申请消防验收或备案的建设工程未经建设工程质量安全监督机构监管或限额以下小型工程未经镇街监管的。</w:t>
            </w:r>
            <w:r>
              <w:rPr>
                <w:rFonts w:ascii="CESI仿宋-GB2312" w:hAnsi="CESI仿宋-GB2312" w:eastAsia="CESI仿宋-GB2312" w:cs="CESI仿宋-GB2312"/>
                <w:color w:val="000000"/>
                <w:kern w:val="0"/>
                <w:sz w:val="18"/>
                <w:szCs w:val="18"/>
                <w:lang w:bidi="ar"/>
              </w:rPr>
              <w:br w:type="textWrapping"/>
            </w:r>
            <w:r>
              <w:rPr>
                <w:rFonts w:ascii="CESI仿宋-GB2312" w:hAnsi="CESI仿宋-GB2312" w:eastAsia="CESI仿宋-GB2312" w:cs="CESI仿宋-GB2312"/>
                <w:color w:val="000000"/>
                <w:kern w:val="0"/>
                <w:sz w:val="18"/>
                <w:szCs w:val="18"/>
                <w:lang w:bidi="ar"/>
              </w:rPr>
              <w:t>9.其他违反相关规范、标准、规定行为。</w:t>
            </w:r>
          </w:p>
        </w:tc>
        <w:tc>
          <w:tcPr>
            <w:tcW w:w="5047"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1、因不规范行为依法被市、区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正式约谈，且未因相关行为被扣分的，每次扣</w:t>
            </w:r>
            <w:r>
              <w:rPr>
                <w:rFonts w:hint="eastAsia" w:ascii="CESI仿宋-GB2312" w:hAnsi="CESI仿宋-GB2312" w:eastAsia="CESI仿宋-GB2312" w:cs="CESI仿宋-GB2312"/>
                <w:color w:val="000000"/>
                <w:kern w:val="0"/>
                <w:sz w:val="18"/>
                <w:szCs w:val="18"/>
                <w:lang w:bidi="ar"/>
              </w:rPr>
              <w:t>3</w:t>
            </w:r>
            <w:r>
              <w:rPr>
                <w:rFonts w:ascii="CESI仿宋-GB2312" w:hAnsi="CESI仿宋-GB2312" w:eastAsia="CESI仿宋-GB2312" w:cs="CESI仿宋-GB2312"/>
                <w:color w:val="000000"/>
                <w:kern w:val="0"/>
                <w:sz w:val="18"/>
                <w:szCs w:val="18"/>
                <w:lang w:bidi="ar"/>
              </w:rPr>
              <w:t>分；</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出具整改通知书</w:t>
            </w:r>
            <w:r>
              <w:rPr>
                <w:rFonts w:hint="eastAsia" w:ascii="CESI仿宋-GB2312" w:hAnsi="CESI仿宋-GB2312" w:eastAsia="CESI仿宋-GB2312" w:cs="CESI仿宋-GB2312"/>
                <w:color w:val="000000"/>
                <w:kern w:val="0"/>
                <w:sz w:val="18"/>
                <w:szCs w:val="18"/>
                <w:lang w:bidi="ar"/>
              </w:rPr>
              <w:t>，且未因相关行为被扣分</w:t>
            </w:r>
            <w:r>
              <w:rPr>
                <w:rFonts w:ascii="CESI仿宋-GB2312" w:hAnsi="CESI仿宋-GB2312" w:eastAsia="CESI仿宋-GB2312" w:cs="CESI仿宋-GB2312"/>
                <w:color w:val="000000"/>
                <w:kern w:val="0"/>
                <w:sz w:val="18"/>
                <w:szCs w:val="18"/>
                <w:lang w:bidi="ar"/>
              </w:rPr>
              <w:t>的，每次扣</w:t>
            </w: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分；</w:t>
            </w:r>
          </w:p>
        </w:tc>
      </w:tr>
    </w:tbl>
    <w:p>
      <w:pPr>
        <w:pStyle w:val="2"/>
        <w:sectPr>
          <w:pgSz w:w="16838" w:h="11906" w:orient="landscape"/>
          <w:pgMar w:top="1800" w:right="1440" w:bottom="1800" w:left="1440" w:header="851" w:footer="992" w:gutter="0"/>
          <w:cols w:space="720" w:num="1"/>
          <w:docGrid w:type="lines" w:linePitch="312" w:charSpace="0"/>
        </w:sectPr>
      </w:pPr>
    </w:p>
    <w:p>
      <w:pPr>
        <w:pStyle w:val="5"/>
        <w:tabs>
          <w:tab w:val="left" w:pos="1980"/>
        </w:tabs>
        <w:snapToGrid w:val="0"/>
        <w:spacing w:after="156" w:afterLines="50" w:line="520" w:lineRule="exact"/>
      </w:pPr>
      <w:r>
        <w:rPr>
          <w:rFonts w:hint="eastAsia" w:ascii="黑体" w:hAnsi="黑体" w:eastAsia="黑体" w:cs="黑体"/>
          <w:color w:val="000000"/>
          <w:sz w:val="32"/>
          <w:szCs w:val="32"/>
          <w:lang w:bidi="ar"/>
        </w:rPr>
        <w:t>（二）设计单位</w:t>
      </w:r>
    </w:p>
    <w:tbl>
      <w:tblPr>
        <w:tblStyle w:val="3"/>
        <w:tblpPr w:leftFromText="180" w:rightFromText="180" w:vertAnchor="text" w:horzAnchor="page" w:tblpX="1562" w:tblpY="103"/>
        <w:tblOverlap w:val="never"/>
        <w:tblW w:w="14186" w:type="dxa"/>
        <w:tblInd w:w="0" w:type="dxa"/>
        <w:tblLayout w:type="autofit"/>
        <w:tblCellMar>
          <w:top w:w="0" w:type="dxa"/>
          <w:left w:w="108" w:type="dxa"/>
          <w:bottom w:w="0" w:type="dxa"/>
          <w:right w:w="108" w:type="dxa"/>
        </w:tblCellMar>
      </w:tblPr>
      <w:tblGrid>
        <w:gridCol w:w="1263"/>
        <w:gridCol w:w="1260"/>
        <w:gridCol w:w="1756"/>
        <w:gridCol w:w="5324"/>
        <w:gridCol w:w="4583"/>
      </w:tblGrid>
      <w:tr>
        <w:tblPrEx>
          <w:tblCellMar>
            <w:top w:w="0" w:type="dxa"/>
            <w:left w:w="108" w:type="dxa"/>
            <w:bottom w:w="0" w:type="dxa"/>
            <w:right w:w="108" w:type="dxa"/>
          </w:tblCellMar>
        </w:tblPrEx>
        <w:trPr>
          <w:trHeight w:val="350" w:hRule="atLeast"/>
        </w:trPr>
        <w:tc>
          <w:tcPr>
            <w:tcW w:w="12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计分项目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评价分类</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sz w:val="24"/>
              </w:rPr>
              <w:t>计分有效期</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计分情形</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计分规则</w:t>
            </w:r>
          </w:p>
        </w:tc>
      </w:tr>
      <w:tr>
        <w:tblPrEx>
          <w:tblCellMar>
            <w:top w:w="0" w:type="dxa"/>
            <w:left w:w="108" w:type="dxa"/>
            <w:bottom w:w="0" w:type="dxa"/>
            <w:right w:w="108" w:type="dxa"/>
          </w:tblCellMar>
        </w:tblPrEx>
        <w:trPr>
          <w:trHeight w:val="1208" w:hRule="atLeast"/>
        </w:trPr>
        <w:tc>
          <w:tcPr>
            <w:tcW w:w="12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基础分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基本信息</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有效期与企业存续期限一致</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企业基本信息</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信用</w:t>
            </w:r>
            <w:r>
              <w:rPr>
                <w:rFonts w:hint="eastAsia" w:ascii="CESI仿宋-GB2312" w:hAnsi="CESI仿宋-GB2312" w:eastAsia="CESI仿宋-GB2312" w:cs="CESI仿宋-GB2312"/>
                <w:color w:val="000000"/>
                <w:kern w:val="0"/>
                <w:sz w:val="18"/>
                <w:szCs w:val="18"/>
                <w:lang w:val="en-US" w:eastAsia="zh-CN" w:bidi="ar"/>
              </w:rPr>
              <w:t>平台</w:t>
            </w:r>
            <w:r>
              <w:rPr>
                <w:rFonts w:ascii="CESI仿宋-GB2312" w:hAnsi="CESI仿宋-GB2312" w:eastAsia="CESI仿宋-GB2312" w:cs="CESI仿宋-GB2312"/>
                <w:color w:val="000000"/>
                <w:kern w:val="0"/>
                <w:sz w:val="18"/>
                <w:szCs w:val="18"/>
                <w:lang w:bidi="ar"/>
              </w:rPr>
              <w:t>获取信息即可获得</w:t>
            </w:r>
            <w:r>
              <w:rPr>
                <w:rFonts w:hint="eastAsia" w:ascii="CESI仿宋-GB2312" w:hAnsi="CESI仿宋-GB2312" w:eastAsia="CESI仿宋-GB2312" w:cs="CESI仿宋-GB2312"/>
                <w:color w:val="000000"/>
                <w:kern w:val="0"/>
                <w:sz w:val="18"/>
                <w:szCs w:val="18"/>
                <w:lang w:bidi="ar"/>
              </w:rPr>
              <w:t>70</w:t>
            </w:r>
            <w:r>
              <w:rPr>
                <w:rFonts w:ascii="CESI仿宋-GB2312" w:hAnsi="CESI仿宋-GB2312" w:eastAsia="CESI仿宋-GB2312" w:cs="CESI仿宋-GB2312"/>
                <w:color w:val="000000"/>
                <w:kern w:val="0"/>
                <w:sz w:val="18"/>
                <w:szCs w:val="18"/>
                <w:lang w:bidi="ar"/>
              </w:rPr>
              <w:t>分</w:t>
            </w:r>
          </w:p>
        </w:tc>
      </w:tr>
      <w:tr>
        <w:tblPrEx>
          <w:tblCellMar>
            <w:top w:w="0" w:type="dxa"/>
            <w:left w:w="108" w:type="dxa"/>
            <w:bottom w:w="0" w:type="dxa"/>
            <w:right w:w="108" w:type="dxa"/>
          </w:tblCellMar>
        </w:tblPrEx>
        <w:trPr>
          <w:trHeight w:val="675" w:hRule="atLeast"/>
        </w:trPr>
        <w:tc>
          <w:tcPr>
            <w:tcW w:w="1263" w:type="dxa"/>
            <w:vMerge w:val="restart"/>
            <w:tcBorders>
              <w:left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p>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业务能力</w:t>
            </w:r>
          </w:p>
          <w:p>
            <w:pPr>
              <w:widowControl/>
              <w:jc w:val="center"/>
              <w:textAlignment w:val="center"/>
              <w:rPr>
                <w:rFonts w:ascii="CESI仿宋-GB2312" w:hAnsi="CESI仿宋-GB2312" w:eastAsia="CESI仿宋-GB2312" w:cs="CESI仿宋-GB2312"/>
                <w:color w:val="000000"/>
                <w:sz w:val="18"/>
                <w:szCs w:val="18"/>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办理消防设计审查、验收以及备案的良好表现</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kern w:val="0"/>
                <w:sz w:val="18"/>
                <w:szCs w:val="18"/>
                <w:lang w:bidi="ar"/>
              </w:rPr>
              <w:t>参建项目申请消防设计审查或消防验收或消防验收备案时，资料齐全，内容完整且不存在违反强制性技术规定情形，能够一次性通过的，每宗加1分。</w:t>
            </w:r>
          </w:p>
        </w:tc>
      </w:tr>
      <w:tr>
        <w:tblPrEx>
          <w:tblCellMar>
            <w:top w:w="0" w:type="dxa"/>
            <w:left w:w="108" w:type="dxa"/>
            <w:bottom w:w="0" w:type="dxa"/>
            <w:right w:w="108" w:type="dxa"/>
          </w:tblCellMar>
        </w:tblPrEx>
        <w:trPr>
          <w:trHeight w:val="675" w:hRule="atLeast"/>
        </w:trPr>
        <w:tc>
          <w:tcPr>
            <w:tcW w:w="1263"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荣誉表彰</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建设工程消防相关奖项（市级以上）</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获得市级政府部门表彰、奖励的，每项加3分；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2、获得省、部级政府部门表彰、奖励，每项加5分；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3、获得国家级表彰、奖励</w:t>
            </w:r>
            <w:r>
              <w:rPr>
                <w:rFonts w:hint="eastAsia" w:ascii="CESI仿宋-GB2312" w:hAnsi="CESI仿宋-GB2312" w:eastAsia="CESI仿宋-GB2312" w:cs="CESI仿宋-GB2312"/>
                <w:color w:val="000000"/>
                <w:kern w:val="0"/>
                <w:sz w:val="18"/>
                <w:szCs w:val="18"/>
                <w:lang w:bidi="ar"/>
              </w:rPr>
              <w:t>的，</w:t>
            </w:r>
            <w:r>
              <w:rPr>
                <w:rFonts w:ascii="CESI仿宋-GB2312" w:hAnsi="CESI仿宋-GB2312" w:eastAsia="CESI仿宋-GB2312" w:cs="CESI仿宋-GB2312"/>
                <w:color w:val="000000"/>
                <w:kern w:val="0"/>
                <w:sz w:val="18"/>
                <w:szCs w:val="18"/>
                <w:lang w:bidi="ar"/>
              </w:rPr>
              <w:t>每项加7分.</w:t>
            </w:r>
          </w:p>
          <w:p>
            <w:pPr>
              <w:widowControl/>
              <w:textAlignment w:val="center"/>
              <w:rPr>
                <w:rFonts w:hint="eastAsia"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以上累计</w:t>
            </w:r>
            <w:r>
              <w:rPr>
                <w:rFonts w:hint="eastAsia" w:ascii="CESI仿宋-GB2312" w:hAnsi="CESI仿宋-GB2312" w:eastAsia="CESI仿宋-GB2312" w:cs="CESI仿宋-GB2312"/>
                <w:color w:val="000000"/>
                <w:kern w:val="0"/>
                <w:sz w:val="18"/>
                <w:szCs w:val="18"/>
                <w:lang w:bidi="ar"/>
              </w:rPr>
              <w:t>有效</w:t>
            </w:r>
            <w:r>
              <w:rPr>
                <w:rFonts w:ascii="CESI仿宋-GB2312" w:hAnsi="CESI仿宋-GB2312" w:eastAsia="CESI仿宋-GB2312" w:cs="CESI仿宋-GB2312"/>
                <w:color w:val="000000"/>
                <w:kern w:val="0"/>
                <w:sz w:val="18"/>
                <w:szCs w:val="18"/>
                <w:lang w:bidi="ar"/>
              </w:rPr>
              <w:t>加分不得超过10分。</w:t>
            </w:r>
          </w:p>
        </w:tc>
      </w:tr>
      <w:tr>
        <w:tblPrEx>
          <w:tblCellMar>
            <w:top w:w="0" w:type="dxa"/>
            <w:left w:w="108" w:type="dxa"/>
            <w:bottom w:w="0" w:type="dxa"/>
            <w:right w:w="108" w:type="dxa"/>
          </w:tblCellMar>
        </w:tblPrEx>
        <w:trPr>
          <w:trHeight w:val="450" w:hRule="atLeast"/>
        </w:trPr>
        <w:tc>
          <w:tcPr>
            <w:tcW w:w="12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扣分项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履约践诺</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承诺不实或不履行承诺的</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发现适用告知承诺制</w:t>
            </w:r>
            <w:r>
              <w:rPr>
                <w:rFonts w:hint="eastAsia" w:ascii="CESI仿宋-GB2312" w:hAnsi="CESI仿宋-GB2312" w:eastAsia="CESI仿宋-GB2312" w:cs="CESI仿宋-GB2312"/>
                <w:color w:val="000000"/>
                <w:kern w:val="0"/>
                <w:sz w:val="18"/>
                <w:szCs w:val="18"/>
                <w:lang w:bidi="ar"/>
              </w:rPr>
              <w:t>时</w:t>
            </w:r>
            <w:r>
              <w:rPr>
                <w:rFonts w:ascii="CESI仿宋-GB2312" w:hAnsi="CESI仿宋-GB2312" w:eastAsia="CESI仿宋-GB2312" w:cs="CESI仿宋-GB2312"/>
                <w:color w:val="000000"/>
                <w:kern w:val="0"/>
                <w:sz w:val="18"/>
                <w:szCs w:val="18"/>
                <w:lang w:bidi="ar"/>
              </w:rPr>
              <w:t>承诺不实或不履行承诺，尚未被处罚的，每次扣1分，扣分上限10分。</w:t>
            </w:r>
          </w:p>
        </w:tc>
      </w:tr>
      <w:tr>
        <w:tblPrEx>
          <w:tblCellMar>
            <w:top w:w="0" w:type="dxa"/>
            <w:left w:w="108" w:type="dxa"/>
            <w:bottom w:w="0" w:type="dxa"/>
            <w:right w:w="108" w:type="dxa"/>
          </w:tblCellMar>
        </w:tblPrEx>
        <w:trPr>
          <w:trHeight w:val="3048" w:hRule="atLeast"/>
        </w:trPr>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行政处罚</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有效期至处罚信息被依法停止公示</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受到市、区住房城乡建设部门作出的与建设工程消防有关的行政处罚。</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1、受到行政处罚，按《广东省住房和城乡建设系统行政处罚自由裁量权基准》，裁量档次属于从轻的</w:t>
            </w:r>
            <w:r>
              <w:rPr>
                <w:rFonts w:ascii="CESI仿宋-GB2312" w:hAnsi="CESI仿宋-GB2312" w:eastAsia="CESI仿宋-GB2312" w:cs="CESI仿宋-GB2312"/>
                <w:color w:val="000000"/>
                <w:kern w:val="0"/>
                <w:sz w:val="18"/>
                <w:szCs w:val="18"/>
                <w:lang w:bidi="ar"/>
              </w:rPr>
              <w:t>，每次扣5分；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w:t>
            </w:r>
            <w:r>
              <w:rPr>
                <w:rFonts w:ascii="CESI仿宋-GB2312" w:hAnsi="CESI仿宋-GB2312" w:eastAsia="CESI仿宋-GB2312" w:cs="CESI仿宋-GB2312"/>
                <w:color w:val="000000"/>
                <w:kern w:val="0"/>
                <w:sz w:val="18"/>
                <w:szCs w:val="18"/>
                <w:lang w:bidi="ar"/>
              </w:rPr>
              <w:t>一般的，每次扣10分；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3、</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受到行政处罚，按《广东省住房和城乡建设系统行政处罚自由裁量权基准》，裁量档次属于从重</w:t>
            </w:r>
            <w:r>
              <w:rPr>
                <w:rFonts w:ascii="CESI仿宋-GB2312" w:hAnsi="CESI仿宋-GB2312" w:eastAsia="CESI仿宋-GB2312" w:cs="CESI仿宋-GB2312"/>
                <w:color w:val="000000"/>
                <w:kern w:val="0"/>
                <w:sz w:val="18"/>
                <w:szCs w:val="18"/>
                <w:lang w:bidi="ar"/>
              </w:rPr>
              <w:t>的，每次扣20分。</w:t>
            </w:r>
          </w:p>
        </w:tc>
      </w:tr>
      <w:tr>
        <w:tblPrEx>
          <w:tblCellMar>
            <w:top w:w="0" w:type="dxa"/>
            <w:left w:w="108" w:type="dxa"/>
            <w:bottom w:w="0" w:type="dxa"/>
            <w:right w:w="108" w:type="dxa"/>
          </w:tblCellMar>
        </w:tblPrEx>
        <w:trPr>
          <w:trHeight w:val="270" w:hRule="atLeast"/>
        </w:trPr>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不规范行为</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有效期至不规范行为已确认整改（不改正</w:t>
            </w:r>
            <w:r>
              <w:rPr>
                <w:rFonts w:ascii="CESI仿宋-GB2312" w:hAnsi="CESI仿宋-GB2312" w:eastAsia="CESI仿宋-GB2312" w:cs="CESI仿宋-GB2312"/>
                <w:color w:val="000000"/>
                <w:kern w:val="0"/>
                <w:sz w:val="18"/>
                <w:szCs w:val="18"/>
                <w:lang w:bidi="ar"/>
              </w:rPr>
              <w:t>的，</w:t>
            </w:r>
            <w:r>
              <w:rPr>
                <w:rFonts w:hint="eastAsia" w:ascii="CESI仿宋-GB2312" w:hAnsi="CESI仿宋-GB2312" w:eastAsia="CESI仿宋-GB2312" w:cs="CESI仿宋-GB2312"/>
                <w:color w:val="000000"/>
                <w:kern w:val="0"/>
                <w:sz w:val="18"/>
                <w:szCs w:val="18"/>
                <w:lang w:bidi="ar"/>
              </w:rPr>
              <w:t>12个月后</w:t>
            </w:r>
            <w:r>
              <w:rPr>
                <w:rFonts w:ascii="CESI仿宋-GB2312" w:hAnsi="CESI仿宋-GB2312" w:eastAsia="CESI仿宋-GB2312" w:cs="CESI仿宋-GB2312"/>
                <w:color w:val="000000"/>
                <w:kern w:val="0"/>
                <w:sz w:val="18"/>
                <w:szCs w:val="18"/>
                <w:lang w:bidi="ar"/>
              </w:rPr>
              <w:t>清零</w:t>
            </w:r>
            <w:r>
              <w:rPr>
                <w:rFonts w:hint="eastAsia" w:ascii="CESI仿宋-GB2312" w:hAnsi="CESI仿宋-GB2312" w:eastAsia="CESI仿宋-GB2312" w:cs="CESI仿宋-GB2312"/>
                <w:color w:val="000000"/>
                <w:kern w:val="0"/>
                <w:sz w:val="18"/>
                <w:szCs w:val="18"/>
                <w:lang w:bidi="ar"/>
              </w:rPr>
              <w:t>）</w:t>
            </w:r>
          </w:p>
        </w:tc>
        <w:tc>
          <w:tcPr>
            <w:tcW w:w="532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存在以下情形但未达到行政处罚立案条件的：</w:t>
            </w:r>
          </w:p>
          <w:p>
            <w:pPr>
              <w:tabs>
                <w:tab w:val="left" w:pos="2415"/>
              </w:tabs>
              <w:adjustRightInd w:val="0"/>
              <w:snapToGrid w:val="0"/>
              <w:spacing w:line="4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1.在设计文件中选用的消防产品和具有防火性能要求的建筑材料、建筑构配件和设备，未注明规格、性能等技术指标，或不符合国家规定的标准。</w:t>
            </w:r>
          </w:p>
          <w:p>
            <w:pPr>
              <w:tabs>
                <w:tab w:val="left" w:pos="2415"/>
              </w:tabs>
              <w:adjustRightInd w:val="0"/>
              <w:snapToGrid w:val="0"/>
              <w:spacing w:line="4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2.未依法参加建设单位组织的建设工程竣工验收，未对建设工程消防设计实施情况签章确认，并对建设工程消防设计质量负责的。</w:t>
            </w:r>
          </w:p>
          <w:p>
            <w:pPr>
              <w:tabs>
                <w:tab w:val="left" w:pos="2415"/>
              </w:tabs>
              <w:adjustRightInd w:val="0"/>
              <w:snapToGrid w:val="0"/>
              <w:spacing w:line="4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3.擅自修改经审查合格的消防设计文件的。</w:t>
            </w:r>
          </w:p>
          <w:p>
            <w:pPr>
              <w:tabs>
                <w:tab w:val="left" w:pos="2415"/>
              </w:tabs>
              <w:adjustRightInd w:val="0"/>
              <w:snapToGrid w:val="0"/>
              <w:spacing w:line="4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4.消防设计文件不符合国家规定的设计深度要求。</w:t>
            </w:r>
          </w:p>
          <w:p>
            <w:pPr>
              <w:tabs>
                <w:tab w:val="left" w:pos="2415"/>
              </w:tabs>
              <w:adjustRightInd w:val="0"/>
              <w:snapToGrid w:val="0"/>
              <w:spacing w:line="4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5.消防设计文件违反国家工程建设消防技术标准非强制性条文。</w:t>
            </w:r>
          </w:p>
          <w:p>
            <w:pPr>
              <w:tabs>
                <w:tab w:val="left" w:pos="2415"/>
              </w:tabs>
              <w:adjustRightInd w:val="0"/>
              <w:snapToGrid w:val="0"/>
              <w:spacing w:line="400" w:lineRule="exact"/>
              <w:rPr>
                <w:rFonts w:hint="eastAsia" w:ascii="CESI仿宋-GB2312" w:hAnsi="CESI仿宋-GB2312" w:eastAsia="CESI仿宋-GB2312" w:cs="CESI仿宋-GB2312"/>
                <w:kern w:val="0"/>
                <w:sz w:val="18"/>
                <w:szCs w:val="18"/>
              </w:rPr>
            </w:pPr>
            <w:r>
              <w:rPr>
                <w:rFonts w:hint="eastAsia" w:ascii="CESI仿宋-GB2312" w:hAnsi="CESI仿宋-GB2312" w:eastAsia="CESI仿宋-GB2312" w:cs="CESI仿宋-GB2312"/>
                <w:kern w:val="0"/>
                <w:sz w:val="18"/>
                <w:szCs w:val="18"/>
              </w:rPr>
              <w:t>6.依法需要办理规划许可的项目，未严格按照规划许可文件进行设计的；</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kern w:val="0"/>
                <w:sz w:val="18"/>
                <w:szCs w:val="18"/>
              </w:rPr>
              <w:t>7.其他违反相关规范、标准、规定行为。</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1、因不规范行为依法被市、区以上</w:t>
            </w:r>
            <w:r>
              <w:rPr>
                <w:rFonts w:hint="eastAsia" w:ascii="CESI仿宋-GB2312" w:hAnsi="CESI仿宋-GB2312" w:eastAsia="CESI仿宋-GB2312" w:cs="CESI仿宋-GB2312"/>
                <w:color w:val="000000"/>
                <w:kern w:val="0"/>
                <w:sz w:val="18"/>
                <w:szCs w:val="18"/>
                <w:lang w:bidi="ar"/>
              </w:rPr>
              <w:t>住房城乡建设</w:t>
            </w:r>
            <w:r>
              <w:rPr>
                <w:rFonts w:ascii="CESI仿宋-GB2312" w:hAnsi="CESI仿宋-GB2312" w:eastAsia="CESI仿宋-GB2312" w:cs="CESI仿宋-GB2312"/>
                <w:color w:val="000000"/>
                <w:kern w:val="0"/>
                <w:sz w:val="18"/>
                <w:szCs w:val="18"/>
                <w:lang w:bidi="ar"/>
              </w:rPr>
              <w:t>部门正式约谈，且未因相关行为被扣分的，每次扣</w:t>
            </w:r>
            <w:r>
              <w:rPr>
                <w:rFonts w:hint="eastAsia" w:ascii="CESI仿宋-GB2312" w:hAnsi="CESI仿宋-GB2312" w:eastAsia="CESI仿宋-GB2312" w:cs="CESI仿宋-GB2312"/>
                <w:color w:val="000000"/>
                <w:kern w:val="0"/>
                <w:sz w:val="18"/>
                <w:szCs w:val="18"/>
                <w:lang w:bidi="ar"/>
              </w:rPr>
              <w:t>3</w:t>
            </w:r>
            <w:r>
              <w:rPr>
                <w:rFonts w:ascii="CESI仿宋-GB2312" w:hAnsi="CESI仿宋-GB2312" w:eastAsia="CESI仿宋-GB2312" w:cs="CESI仿宋-GB2312"/>
                <w:color w:val="000000"/>
                <w:kern w:val="0"/>
                <w:sz w:val="18"/>
                <w:szCs w:val="18"/>
                <w:lang w:bidi="ar"/>
              </w:rPr>
              <w:t>分；</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、因不规范行为依法被市、区以上</w:t>
            </w:r>
            <w:r>
              <w:rPr>
                <w:rFonts w:hint="eastAsia" w:ascii="CESI仿宋-GB2312" w:hAnsi="CESI仿宋-GB2312" w:eastAsia="CESI仿宋-GB2312" w:cs="CESI仿宋-GB2312"/>
                <w:color w:val="000000"/>
                <w:kern w:val="0"/>
                <w:sz w:val="18"/>
                <w:szCs w:val="18"/>
                <w:lang w:bidi="ar"/>
              </w:rPr>
              <w:t>住房城乡建设</w:t>
            </w:r>
            <w:r>
              <w:rPr>
                <w:rFonts w:ascii="CESI仿宋-GB2312" w:hAnsi="CESI仿宋-GB2312" w:eastAsia="CESI仿宋-GB2312" w:cs="CESI仿宋-GB2312"/>
                <w:color w:val="000000"/>
                <w:kern w:val="0"/>
                <w:sz w:val="18"/>
                <w:szCs w:val="18"/>
                <w:lang w:bidi="ar"/>
              </w:rPr>
              <w:t>部门出具执法建议书或整改通知书</w:t>
            </w:r>
            <w:r>
              <w:rPr>
                <w:rFonts w:hint="eastAsia" w:ascii="CESI仿宋-GB2312" w:hAnsi="CESI仿宋-GB2312" w:eastAsia="CESI仿宋-GB2312" w:cs="CESI仿宋-GB2312"/>
                <w:color w:val="000000"/>
                <w:kern w:val="0"/>
                <w:sz w:val="18"/>
                <w:szCs w:val="18"/>
                <w:lang w:bidi="ar"/>
              </w:rPr>
              <w:t>，且未因相关行为被扣分</w:t>
            </w:r>
            <w:r>
              <w:rPr>
                <w:rFonts w:ascii="CESI仿宋-GB2312" w:hAnsi="CESI仿宋-GB2312" w:eastAsia="CESI仿宋-GB2312" w:cs="CESI仿宋-GB2312"/>
                <w:color w:val="000000"/>
                <w:kern w:val="0"/>
                <w:sz w:val="18"/>
                <w:szCs w:val="18"/>
                <w:lang w:bidi="ar"/>
              </w:rPr>
              <w:t>的，每次扣</w:t>
            </w: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分；</w:t>
            </w:r>
          </w:p>
        </w:tc>
      </w:tr>
      <w:tr>
        <w:tblPrEx>
          <w:tblCellMar>
            <w:top w:w="0" w:type="dxa"/>
            <w:left w:w="108" w:type="dxa"/>
            <w:bottom w:w="0" w:type="dxa"/>
            <w:right w:w="108" w:type="dxa"/>
          </w:tblCellMar>
        </w:tblPrEx>
        <w:trPr>
          <w:trHeight w:val="270" w:hRule="atLeast"/>
        </w:trPr>
        <w:tc>
          <w:tcPr>
            <w:tcW w:w="1263" w:type="dxa"/>
            <w:noWrap w:val="0"/>
            <w:vAlign w:val="top"/>
          </w:tcPr>
          <w:p>
            <w:pPr>
              <w:jc w:val="center"/>
              <w:rPr>
                <w:rFonts w:ascii="CESI仿宋-GB2312" w:hAnsi="CESI仿宋-GB2312" w:eastAsia="CESI仿宋-GB2312" w:cs="CESI仿宋-GB2312"/>
                <w:color w:val="000000"/>
                <w:sz w:val="18"/>
                <w:szCs w:val="18"/>
              </w:rPr>
            </w:pPr>
          </w:p>
        </w:tc>
        <w:tc>
          <w:tcPr>
            <w:tcW w:w="1260" w:type="dxa"/>
            <w:noWrap w:val="0"/>
            <w:vAlign w:val="top"/>
          </w:tcPr>
          <w:p>
            <w:pPr>
              <w:widowControl/>
              <w:jc w:val="center"/>
              <w:textAlignment w:val="center"/>
              <w:rPr>
                <w:rFonts w:ascii="CESI仿宋-GB2312" w:hAnsi="CESI仿宋-GB2312" w:eastAsia="CESI仿宋-GB2312" w:cs="CESI仿宋-GB2312"/>
                <w:color w:val="000000"/>
                <w:sz w:val="18"/>
                <w:szCs w:val="18"/>
              </w:rPr>
            </w:pPr>
          </w:p>
        </w:tc>
        <w:tc>
          <w:tcPr>
            <w:tcW w:w="1756" w:type="dxa"/>
            <w:noWrap w:val="0"/>
            <w:vAlign w:val="center"/>
          </w:tcPr>
          <w:p>
            <w:pPr>
              <w:widowControl/>
              <w:textAlignment w:val="center"/>
              <w:rPr>
                <w:rFonts w:ascii="CESI仿宋-GB2312" w:hAnsi="CESI仿宋-GB2312" w:eastAsia="CESI仿宋-GB2312" w:cs="CESI仿宋-GB2312"/>
                <w:color w:val="000000"/>
                <w:kern w:val="0"/>
                <w:sz w:val="18"/>
                <w:szCs w:val="18"/>
                <w:lang w:bidi="ar"/>
              </w:rPr>
            </w:pPr>
          </w:p>
        </w:tc>
        <w:tc>
          <w:tcPr>
            <w:tcW w:w="5324" w:type="dxa"/>
            <w:noWrap w:val="0"/>
            <w:vAlign w:val="top"/>
          </w:tcPr>
          <w:p>
            <w:pPr>
              <w:widowControl/>
              <w:textAlignment w:val="center"/>
              <w:rPr>
                <w:rFonts w:ascii="CESI仿宋-GB2312" w:hAnsi="CESI仿宋-GB2312" w:eastAsia="CESI仿宋-GB2312" w:cs="CESI仿宋-GB2312"/>
                <w:color w:val="000000"/>
                <w:sz w:val="18"/>
                <w:szCs w:val="18"/>
              </w:rPr>
            </w:pPr>
          </w:p>
        </w:tc>
        <w:tc>
          <w:tcPr>
            <w:tcW w:w="4583" w:type="dxa"/>
            <w:noWrap w:val="0"/>
            <w:vAlign w:val="top"/>
          </w:tcPr>
          <w:p>
            <w:pPr>
              <w:widowControl/>
              <w:textAlignment w:val="center"/>
              <w:rPr>
                <w:rFonts w:ascii="CESI仿宋-GB2312" w:hAnsi="CESI仿宋-GB2312" w:eastAsia="CESI仿宋-GB2312" w:cs="CESI仿宋-GB2312"/>
                <w:color w:val="000000"/>
                <w:sz w:val="18"/>
                <w:szCs w:val="18"/>
              </w:rPr>
            </w:pPr>
          </w:p>
        </w:tc>
      </w:tr>
    </w:tbl>
    <w:p>
      <w:pPr>
        <w:sectPr>
          <w:pgSz w:w="16838" w:h="11906" w:orient="landscape"/>
          <w:pgMar w:top="1800" w:right="1440" w:bottom="1800" w:left="1440" w:header="851" w:footer="992" w:gutter="0"/>
          <w:cols w:space="720" w:num="1"/>
          <w:docGrid w:type="lines" w:linePitch="312" w:charSpace="0"/>
        </w:sectPr>
      </w:pPr>
    </w:p>
    <w:p>
      <w:pPr>
        <w:pStyle w:val="5"/>
        <w:tabs>
          <w:tab w:val="left" w:pos="1980"/>
        </w:tabs>
        <w:snapToGrid w:val="0"/>
        <w:spacing w:after="156" w:afterLines="50" w:line="520" w:lineRule="exact"/>
      </w:pPr>
      <w:r>
        <w:rPr>
          <w:rFonts w:hint="eastAsia" w:ascii="黑体" w:hAnsi="黑体" w:eastAsia="黑体" w:cs="黑体"/>
          <w:color w:val="000000"/>
          <w:sz w:val="32"/>
          <w:szCs w:val="32"/>
          <w:lang w:bidi="ar"/>
        </w:rPr>
        <w:t>（三）施工单位</w:t>
      </w:r>
    </w:p>
    <w:tbl>
      <w:tblPr>
        <w:tblStyle w:val="3"/>
        <w:tblpPr w:leftFromText="180" w:rightFromText="180" w:vertAnchor="text" w:horzAnchor="page" w:tblpX="1562" w:tblpY="103"/>
        <w:tblOverlap w:val="never"/>
        <w:tblW w:w="4911" w:type="pct"/>
        <w:tblInd w:w="0" w:type="dxa"/>
        <w:tblLayout w:type="autofit"/>
        <w:tblCellMar>
          <w:top w:w="0" w:type="dxa"/>
          <w:left w:w="108" w:type="dxa"/>
          <w:bottom w:w="0" w:type="dxa"/>
          <w:right w:w="108" w:type="dxa"/>
        </w:tblCellMar>
      </w:tblPr>
      <w:tblGrid>
        <w:gridCol w:w="1213"/>
        <w:gridCol w:w="1253"/>
        <w:gridCol w:w="1741"/>
        <w:gridCol w:w="5395"/>
        <w:gridCol w:w="4320"/>
      </w:tblGrid>
      <w:tr>
        <w:tblPrEx>
          <w:tblCellMar>
            <w:top w:w="0" w:type="dxa"/>
            <w:left w:w="108" w:type="dxa"/>
            <w:bottom w:w="0" w:type="dxa"/>
            <w:right w:w="108" w:type="dxa"/>
          </w:tblCellMar>
        </w:tblPrEx>
        <w:trPr>
          <w:trHeight w:val="350" w:hRule="atLeast"/>
        </w:trPr>
        <w:tc>
          <w:tcPr>
            <w:tcW w:w="436"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黑体" w:hAnsi="宋体" w:eastAsia="黑体" w:cs="黑体"/>
                <w:color w:val="000000"/>
                <w:sz w:val="24"/>
              </w:rPr>
            </w:pPr>
            <w:r>
              <w:rPr>
                <w:rFonts w:hint="eastAsia" w:ascii="黑体" w:hAnsi="宋体" w:eastAsia="黑体" w:cs="黑体"/>
                <w:color w:val="000000"/>
                <w:kern w:val="0"/>
                <w:sz w:val="24"/>
                <w:lang w:bidi="ar"/>
              </w:rPr>
              <w:t>计分项目</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评价分类</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计分有效期</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计分情形</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7161"/>
                <w:tab w:val="left" w:pos="8329"/>
              </w:tabs>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 xml:space="preserve">                计分规则</w:t>
            </w:r>
            <w:r>
              <w:rPr>
                <w:rFonts w:hint="eastAsia" w:ascii="黑体" w:hAnsi="宋体" w:eastAsia="黑体" w:cs="黑体"/>
                <w:color w:val="000000"/>
                <w:kern w:val="0"/>
                <w:sz w:val="24"/>
                <w:lang w:bidi="ar"/>
              </w:rPr>
              <w:tab/>
            </w:r>
            <w:r>
              <w:rPr>
                <w:rFonts w:hint="eastAsia" w:ascii="黑体" w:hAnsi="宋体" w:eastAsia="黑体" w:cs="黑体"/>
                <w:color w:val="000000"/>
                <w:kern w:val="0"/>
                <w:sz w:val="24"/>
                <w:lang w:bidi="ar"/>
              </w:rPr>
              <w:t>计分规则</w:t>
            </w:r>
          </w:p>
        </w:tc>
      </w:tr>
      <w:tr>
        <w:tblPrEx>
          <w:tblCellMar>
            <w:top w:w="0" w:type="dxa"/>
            <w:left w:w="108" w:type="dxa"/>
            <w:bottom w:w="0" w:type="dxa"/>
            <w:right w:w="108" w:type="dxa"/>
          </w:tblCellMar>
        </w:tblPrEx>
        <w:trPr>
          <w:trHeight w:val="657" w:hRule="atLeast"/>
        </w:trPr>
        <w:tc>
          <w:tcPr>
            <w:tcW w:w="43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基础分</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基本信息</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有效期与企业存续期限一致</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企业基本信息</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信用</w:t>
            </w:r>
            <w:r>
              <w:rPr>
                <w:rFonts w:hint="eastAsia" w:ascii="CESI仿宋-GB2312" w:hAnsi="CESI仿宋-GB2312" w:eastAsia="CESI仿宋-GB2312" w:cs="CESI仿宋-GB2312"/>
                <w:color w:val="000000"/>
                <w:kern w:val="0"/>
                <w:sz w:val="18"/>
                <w:szCs w:val="18"/>
                <w:lang w:val="en-US" w:eastAsia="zh-CN" w:bidi="ar"/>
              </w:rPr>
              <w:t>平台</w:t>
            </w:r>
            <w:r>
              <w:rPr>
                <w:rFonts w:ascii="CESI仿宋-GB2312" w:hAnsi="CESI仿宋-GB2312" w:eastAsia="CESI仿宋-GB2312" w:cs="CESI仿宋-GB2312"/>
                <w:color w:val="000000"/>
                <w:kern w:val="0"/>
                <w:sz w:val="18"/>
                <w:szCs w:val="18"/>
                <w:lang w:bidi="ar"/>
              </w:rPr>
              <w:t>获取信息即可获得</w:t>
            </w:r>
            <w:r>
              <w:rPr>
                <w:rFonts w:hint="eastAsia" w:ascii="CESI仿宋-GB2312" w:hAnsi="CESI仿宋-GB2312" w:eastAsia="CESI仿宋-GB2312" w:cs="CESI仿宋-GB2312"/>
                <w:color w:val="000000"/>
                <w:kern w:val="0"/>
                <w:sz w:val="18"/>
                <w:szCs w:val="18"/>
                <w:lang w:bidi="ar"/>
              </w:rPr>
              <w:t>70</w:t>
            </w:r>
            <w:r>
              <w:rPr>
                <w:rFonts w:ascii="CESI仿宋-GB2312" w:hAnsi="CESI仿宋-GB2312" w:eastAsia="CESI仿宋-GB2312" w:cs="CESI仿宋-GB2312"/>
                <w:color w:val="000000"/>
                <w:kern w:val="0"/>
                <w:sz w:val="18"/>
                <w:szCs w:val="18"/>
                <w:lang w:bidi="ar"/>
              </w:rPr>
              <w:t>分</w:t>
            </w:r>
          </w:p>
        </w:tc>
      </w:tr>
      <w:tr>
        <w:tblPrEx>
          <w:tblCellMar>
            <w:top w:w="0" w:type="dxa"/>
            <w:left w:w="108" w:type="dxa"/>
            <w:bottom w:w="0" w:type="dxa"/>
            <w:right w:w="108" w:type="dxa"/>
          </w:tblCellMar>
        </w:tblPrEx>
        <w:trPr>
          <w:trHeight w:val="863" w:hRule="atLeast"/>
        </w:trPr>
        <w:tc>
          <w:tcPr>
            <w:tcW w:w="436" w:type="pct"/>
            <w:tcBorders>
              <w:left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p>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业务能力</w:t>
            </w:r>
          </w:p>
          <w:p>
            <w:pPr>
              <w:widowControl/>
              <w:jc w:val="center"/>
              <w:textAlignment w:val="center"/>
              <w:rPr>
                <w:rFonts w:ascii="CESI仿宋-GB2312" w:hAnsi="CESI仿宋-GB2312" w:eastAsia="CESI仿宋-GB2312" w:cs="CESI仿宋-GB2312"/>
                <w:color w:val="000000"/>
                <w:kern w:val="0"/>
                <w:sz w:val="18"/>
                <w:szCs w:val="18"/>
                <w:lang w:bidi="ar"/>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办理消防设计审查、验收以及备案的良好表现</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sz w:val="18"/>
                <w:szCs w:val="18"/>
              </w:rPr>
            </w:pPr>
            <w:r>
              <w:rPr>
                <w:rFonts w:hint="eastAsia" w:ascii="CESI仿宋-GB2312" w:hAnsi="CESI仿宋-GB2312" w:eastAsia="CESI仿宋-GB2312" w:cs="CESI仿宋-GB2312"/>
                <w:kern w:val="0"/>
                <w:sz w:val="18"/>
                <w:szCs w:val="18"/>
                <w:lang w:bidi="ar"/>
              </w:rPr>
              <w:t>参建项目申请消防设计审查或消防验收或消防验收备案时，资料齐全，内容完整且不存在违反强制性技术规定情形，能够一次性通过的，每宗加1分。</w:t>
            </w:r>
          </w:p>
        </w:tc>
      </w:tr>
      <w:tr>
        <w:tblPrEx>
          <w:tblCellMar>
            <w:top w:w="0" w:type="dxa"/>
            <w:left w:w="108" w:type="dxa"/>
            <w:bottom w:w="0" w:type="dxa"/>
            <w:right w:w="108" w:type="dxa"/>
          </w:tblCellMar>
        </w:tblPrEx>
        <w:trPr>
          <w:trHeight w:val="860" w:hRule="atLeast"/>
        </w:trPr>
        <w:tc>
          <w:tcPr>
            <w:tcW w:w="436" w:type="pct"/>
            <w:tcBorders>
              <w:left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荣誉表彰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建设工程消防相关奖项（市级以上）</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获得市级政府部门表彰、奖励的，每项加3分；</w:t>
            </w:r>
          </w:p>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、获得省、部级政府部门表彰、奖励，每项加5分；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3、获得国家级表彰、奖励，每项加7分.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以上累计</w:t>
            </w:r>
            <w:r>
              <w:rPr>
                <w:rFonts w:hint="eastAsia" w:ascii="CESI仿宋-GB2312" w:hAnsi="CESI仿宋-GB2312" w:eastAsia="CESI仿宋-GB2312" w:cs="CESI仿宋-GB2312"/>
                <w:color w:val="000000"/>
                <w:kern w:val="0"/>
                <w:sz w:val="18"/>
                <w:szCs w:val="18"/>
                <w:lang w:bidi="ar"/>
              </w:rPr>
              <w:t>有效</w:t>
            </w:r>
            <w:r>
              <w:rPr>
                <w:rFonts w:ascii="CESI仿宋-GB2312" w:hAnsi="CESI仿宋-GB2312" w:eastAsia="CESI仿宋-GB2312" w:cs="CESI仿宋-GB2312"/>
                <w:color w:val="000000"/>
                <w:kern w:val="0"/>
                <w:sz w:val="18"/>
                <w:szCs w:val="18"/>
                <w:lang w:bidi="ar"/>
              </w:rPr>
              <w:t>加分不得超过10分。</w:t>
            </w:r>
          </w:p>
        </w:tc>
      </w:tr>
      <w:tr>
        <w:tblPrEx>
          <w:tblCellMar>
            <w:top w:w="0" w:type="dxa"/>
            <w:left w:w="108" w:type="dxa"/>
            <w:bottom w:w="0" w:type="dxa"/>
            <w:right w:w="108" w:type="dxa"/>
          </w:tblCellMar>
        </w:tblPrEx>
        <w:trPr>
          <w:trHeight w:val="860" w:hRule="atLeast"/>
        </w:trPr>
        <w:tc>
          <w:tcPr>
            <w:tcW w:w="436" w:type="pct"/>
            <w:tcBorders>
              <w:left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技术成果</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参与编制建设工程消防领域标准（规范、技术指引）、取得建设工程消防领域的科研成果等</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参与编写国家、行业、地方建设工程消防领域技术标准并发布实施的，每项加3分，累计加分不得超过10分</w:t>
            </w:r>
            <w:r>
              <w:rPr>
                <w:rFonts w:hint="eastAsia" w:ascii="CESI仿宋-GB2312" w:hAnsi="CESI仿宋-GB2312" w:eastAsia="CESI仿宋-GB2312" w:cs="CESI仿宋-GB2312"/>
                <w:color w:val="000000"/>
                <w:kern w:val="0"/>
                <w:sz w:val="18"/>
                <w:szCs w:val="18"/>
                <w:lang w:bidi="ar"/>
              </w:rPr>
              <w:t>;</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2、取得建设工程消防领域行业发明专利</w:t>
            </w:r>
            <w:r>
              <w:rPr>
                <w:rFonts w:hint="eastAsia" w:ascii="CESI仿宋-GB2312" w:hAnsi="CESI仿宋-GB2312" w:eastAsia="CESI仿宋-GB2312" w:cs="CESI仿宋-GB2312"/>
                <w:color w:val="000000"/>
                <w:kern w:val="0"/>
                <w:sz w:val="18"/>
                <w:szCs w:val="18"/>
                <w:lang w:bidi="ar"/>
              </w:rPr>
              <w:t>，</w:t>
            </w:r>
            <w:r>
              <w:rPr>
                <w:rFonts w:ascii="CESI仿宋-GB2312" w:hAnsi="CESI仿宋-GB2312" w:eastAsia="CESI仿宋-GB2312" w:cs="CESI仿宋-GB2312"/>
                <w:color w:val="000000"/>
                <w:kern w:val="0"/>
                <w:sz w:val="18"/>
                <w:szCs w:val="18"/>
                <w:lang w:bidi="ar"/>
              </w:rPr>
              <w:t>每项加3分，累计加分不得超过10分。</w:t>
            </w:r>
          </w:p>
        </w:tc>
      </w:tr>
      <w:tr>
        <w:tblPrEx>
          <w:tblCellMar>
            <w:top w:w="0" w:type="dxa"/>
            <w:left w:w="108" w:type="dxa"/>
            <w:bottom w:w="0" w:type="dxa"/>
            <w:right w:w="108" w:type="dxa"/>
          </w:tblCellMar>
        </w:tblPrEx>
        <w:trPr>
          <w:trHeight w:val="450" w:hRule="atLeast"/>
        </w:trPr>
        <w:tc>
          <w:tcPr>
            <w:tcW w:w="43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扣分项</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履约践诺</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承诺不实或不履行承诺的</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发现适用告知承诺制</w:t>
            </w:r>
            <w:r>
              <w:rPr>
                <w:rFonts w:hint="eastAsia" w:ascii="CESI仿宋-GB2312" w:hAnsi="CESI仿宋-GB2312" w:eastAsia="CESI仿宋-GB2312" w:cs="CESI仿宋-GB2312"/>
                <w:color w:val="000000"/>
                <w:kern w:val="0"/>
                <w:sz w:val="18"/>
                <w:szCs w:val="18"/>
                <w:lang w:bidi="ar"/>
              </w:rPr>
              <w:t>时</w:t>
            </w:r>
            <w:r>
              <w:rPr>
                <w:rFonts w:ascii="CESI仿宋-GB2312" w:hAnsi="CESI仿宋-GB2312" w:eastAsia="CESI仿宋-GB2312" w:cs="CESI仿宋-GB2312"/>
                <w:color w:val="000000"/>
                <w:kern w:val="0"/>
                <w:sz w:val="18"/>
                <w:szCs w:val="18"/>
                <w:lang w:bidi="ar"/>
              </w:rPr>
              <w:t>承诺不实或不履行承诺，尚未被处罚的，每次扣1分，扣分上限10分。</w:t>
            </w:r>
          </w:p>
        </w:tc>
      </w:tr>
      <w:tr>
        <w:tblPrEx>
          <w:tblCellMar>
            <w:top w:w="0" w:type="dxa"/>
            <w:left w:w="108" w:type="dxa"/>
            <w:bottom w:w="0" w:type="dxa"/>
            <w:right w:w="108" w:type="dxa"/>
          </w:tblCellMar>
        </w:tblPrEx>
        <w:trPr>
          <w:trHeight w:val="2818" w:hRule="atLeast"/>
        </w:trPr>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行政处罚</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有效期至处罚信息被依法停止公示</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受到市、区住房城乡建设部门作出的与建设工程消防有关的行政处罚。</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1、受到行政处罚，按《广东省住房和城乡建设系统行政处罚自由裁量权基准》，裁量档次属于从轻的</w:t>
            </w:r>
            <w:r>
              <w:rPr>
                <w:rFonts w:ascii="CESI仿宋-GB2312" w:hAnsi="CESI仿宋-GB2312" w:eastAsia="CESI仿宋-GB2312" w:cs="CESI仿宋-GB2312"/>
                <w:color w:val="000000"/>
                <w:kern w:val="0"/>
                <w:sz w:val="18"/>
                <w:szCs w:val="18"/>
                <w:lang w:bidi="ar"/>
              </w:rPr>
              <w:t>，每次扣5分；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w:t>
            </w:r>
            <w:r>
              <w:rPr>
                <w:rFonts w:ascii="CESI仿宋-GB2312" w:hAnsi="CESI仿宋-GB2312" w:eastAsia="CESI仿宋-GB2312" w:cs="CESI仿宋-GB2312"/>
                <w:color w:val="000000"/>
                <w:kern w:val="0"/>
                <w:sz w:val="18"/>
                <w:szCs w:val="18"/>
                <w:lang w:bidi="ar"/>
              </w:rPr>
              <w:t>一般的，每次扣10分；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3、</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受到行政处罚，按《广东省住房和城乡建设系统行政处罚自由裁量权基准》，裁量档次属于从重</w:t>
            </w:r>
            <w:r>
              <w:rPr>
                <w:rFonts w:ascii="CESI仿宋-GB2312" w:hAnsi="CESI仿宋-GB2312" w:eastAsia="CESI仿宋-GB2312" w:cs="CESI仿宋-GB2312"/>
                <w:color w:val="000000"/>
                <w:kern w:val="0"/>
                <w:sz w:val="18"/>
                <w:szCs w:val="18"/>
                <w:lang w:bidi="ar"/>
              </w:rPr>
              <w:t>的，每次扣20分。</w:t>
            </w:r>
          </w:p>
        </w:tc>
      </w:tr>
      <w:tr>
        <w:tblPrEx>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不规范行为</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有效期至不规范行为已确认整改（不改正</w:t>
            </w:r>
            <w:r>
              <w:rPr>
                <w:rFonts w:ascii="CESI仿宋-GB2312" w:hAnsi="CESI仿宋-GB2312" w:eastAsia="CESI仿宋-GB2312" w:cs="CESI仿宋-GB2312"/>
                <w:color w:val="000000"/>
                <w:kern w:val="0"/>
                <w:sz w:val="18"/>
                <w:szCs w:val="18"/>
                <w:lang w:bidi="ar"/>
              </w:rPr>
              <w:t>的，</w:t>
            </w:r>
            <w:r>
              <w:rPr>
                <w:rFonts w:hint="eastAsia" w:ascii="CESI仿宋-GB2312" w:hAnsi="CESI仿宋-GB2312" w:eastAsia="CESI仿宋-GB2312" w:cs="CESI仿宋-GB2312"/>
                <w:color w:val="000000"/>
                <w:kern w:val="0"/>
                <w:sz w:val="18"/>
                <w:szCs w:val="18"/>
                <w:lang w:bidi="ar"/>
              </w:rPr>
              <w:t>12个月后</w:t>
            </w:r>
            <w:r>
              <w:rPr>
                <w:rFonts w:ascii="CESI仿宋-GB2312" w:hAnsi="CESI仿宋-GB2312" w:eastAsia="CESI仿宋-GB2312" w:cs="CESI仿宋-GB2312"/>
                <w:color w:val="000000"/>
                <w:kern w:val="0"/>
                <w:sz w:val="18"/>
                <w:szCs w:val="18"/>
                <w:lang w:bidi="ar"/>
              </w:rPr>
              <w:t>清零</w:t>
            </w:r>
            <w:r>
              <w:rPr>
                <w:rFonts w:hint="eastAsia" w:ascii="CESI仿宋-GB2312" w:hAnsi="CESI仿宋-GB2312" w:eastAsia="CESI仿宋-GB2312" w:cs="CESI仿宋-GB2312"/>
                <w:color w:val="000000"/>
                <w:kern w:val="0"/>
                <w:sz w:val="18"/>
                <w:szCs w:val="18"/>
                <w:lang w:bidi="ar"/>
              </w:rPr>
              <w:t>）</w:t>
            </w:r>
          </w:p>
        </w:tc>
        <w:tc>
          <w:tcPr>
            <w:tcW w:w="193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存在以下情形但未达到行政处罚立案条件的：</w:t>
            </w:r>
          </w:p>
          <w:p>
            <w:pPr>
              <w:widowControl/>
              <w:textAlignment w:val="center"/>
              <w:rPr>
                <w:rFonts w:hint="eastAsia"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sz w:val="18"/>
                <w:szCs w:val="18"/>
              </w:rPr>
              <w:t>1.未按照消防设计要求、施工技术标准和合同约定检验消防产品和具有防火性能要求的建筑材料、建筑构配件和设备的质量，未按要求使用合格产品并保证消防施工质量的。</w:t>
            </w:r>
          </w:p>
          <w:p>
            <w:pPr>
              <w:widowControl/>
              <w:textAlignment w:val="center"/>
              <w:rPr>
                <w:rFonts w:hint="eastAsia"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sz w:val="18"/>
                <w:szCs w:val="18"/>
              </w:rPr>
              <w:t>2.未依法参加建设单位组织的建设工程竣工验收，未对建设工程消防施工质量签章确认的。</w:t>
            </w:r>
          </w:p>
          <w:p>
            <w:pPr>
              <w:widowControl/>
              <w:textAlignment w:val="center"/>
              <w:rPr>
                <w:rFonts w:hint="eastAsia"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sz w:val="18"/>
                <w:szCs w:val="18"/>
              </w:rPr>
              <w:t>3.擅自修改经审查合格的消防设计文件。</w:t>
            </w:r>
          </w:p>
          <w:p>
            <w:pPr>
              <w:widowControl/>
              <w:textAlignment w:val="center"/>
              <w:rPr>
                <w:rFonts w:hint="eastAsia"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sz w:val="18"/>
                <w:szCs w:val="18"/>
              </w:rPr>
              <w:t>4.施工单位在施工过程中发现消防设计文件和图纸有差错，未及时提出意见和建议的。</w:t>
            </w:r>
          </w:p>
          <w:p>
            <w:pPr>
              <w:widowControl/>
              <w:textAlignment w:val="center"/>
              <w:rPr>
                <w:rFonts w:hint="eastAsia" w:ascii="CESI仿宋-GB2312" w:hAnsi="CESI仿宋-GB2312" w:eastAsia="CESI仿宋-GB2312" w:cs="CESI仿宋-GB2312"/>
                <w:sz w:val="18"/>
                <w:szCs w:val="18"/>
              </w:rPr>
            </w:pPr>
            <w:r>
              <w:rPr>
                <w:rFonts w:hint="eastAsia" w:ascii="CESI仿宋-GB2312" w:hAnsi="CESI仿宋-GB2312" w:eastAsia="CESI仿宋-GB2312" w:cs="CESI仿宋-GB2312"/>
                <w:color w:val="000000"/>
                <w:sz w:val="18"/>
                <w:szCs w:val="18"/>
              </w:rPr>
              <w:t>5.施工单位没有落实质量责任制，工程项目的项目经理、技术负责人和施工管理负责人不具备相应的从业资格或人员配置不到位的。</w:t>
            </w:r>
            <w:r>
              <w:rPr>
                <w:rFonts w:hint="eastAsia" w:ascii="CESI仿宋-GB2312" w:hAnsi="CESI仿宋-GB2312" w:eastAsia="CESI仿宋-GB2312" w:cs="CESI仿宋-GB2312"/>
                <w:sz w:val="18"/>
                <w:szCs w:val="18"/>
              </w:rPr>
              <w:t>6..申请消防验收或备案的建设工程未经建设工程质量安全监督机构监管或限额以下小型工程未经镇街监管的。</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sz w:val="18"/>
                <w:szCs w:val="18"/>
              </w:rPr>
              <w:t>7.</w:t>
            </w:r>
            <w:r>
              <w:rPr>
                <w:rFonts w:hint="eastAsia" w:ascii="CESI仿宋-GB2312" w:hAnsi="CESI仿宋-GB2312" w:eastAsia="CESI仿宋-GB2312" w:cs="CESI仿宋-GB2312"/>
                <w:color w:val="000000"/>
                <w:sz w:val="18"/>
                <w:szCs w:val="18"/>
              </w:rPr>
              <w:t>其他违反相关规范、标准、规定行为。</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1、因不规范行为依法被市、区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正式约谈，且未因相关行为被扣分的，每次扣</w:t>
            </w:r>
            <w:r>
              <w:rPr>
                <w:rFonts w:hint="eastAsia" w:ascii="CESI仿宋-GB2312" w:hAnsi="CESI仿宋-GB2312" w:eastAsia="CESI仿宋-GB2312" w:cs="CESI仿宋-GB2312"/>
                <w:color w:val="000000"/>
                <w:kern w:val="0"/>
                <w:sz w:val="18"/>
                <w:szCs w:val="18"/>
                <w:lang w:bidi="ar"/>
              </w:rPr>
              <w:t>3</w:t>
            </w:r>
            <w:r>
              <w:rPr>
                <w:rFonts w:ascii="CESI仿宋-GB2312" w:hAnsi="CESI仿宋-GB2312" w:eastAsia="CESI仿宋-GB2312" w:cs="CESI仿宋-GB2312"/>
                <w:color w:val="000000"/>
                <w:kern w:val="0"/>
                <w:sz w:val="18"/>
                <w:szCs w:val="18"/>
                <w:lang w:bidi="ar"/>
              </w:rPr>
              <w:t>分；</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出具整改通知书</w:t>
            </w:r>
            <w:r>
              <w:rPr>
                <w:rFonts w:hint="eastAsia" w:ascii="CESI仿宋-GB2312" w:hAnsi="CESI仿宋-GB2312" w:eastAsia="CESI仿宋-GB2312" w:cs="CESI仿宋-GB2312"/>
                <w:color w:val="000000"/>
                <w:kern w:val="0"/>
                <w:sz w:val="18"/>
                <w:szCs w:val="18"/>
                <w:lang w:bidi="ar"/>
              </w:rPr>
              <w:t>，且未因相关行为被扣分</w:t>
            </w:r>
            <w:r>
              <w:rPr>
                <w:rFonts w:ascii="CESI仿宋-GB2312" w:hAnsi="CESI仿宋-GB2312" w:eastAsia="CESI仿宋-GB2312" w:cs="CESI仿宋-GB2312"/>
                <w:color w:val="000000"/>
                <w:kern w:val="0"/>
                <w:sz w:val="18"/>
                <w:szCs w:val="18"/>
                <w:lang w:bidi="ar"/>
              </w:rPr>
              <w:t>的，每次扣</w:t>
            </w: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分；</w:t>
            </w:r>
          </w:p>
        </w:tc>
      </w:tr>
    </w:tbl>
    <w:p>
      <w:pPr>
        <w:sectPr>
          <w:pgSz w:w="16838" w:h="11906" w:orient="landscape"/>
          <w:pgMar w:top="1800" w:right="1440" w:bottom="1800" w:left="1440" w:header="851" w:footer="992" w:gutter="0"/>
          <w:cols w:space="720" w:num="1"/>
          <w:docGrid w:type="lines" w:linePitch="312" w:charSpace="0"/>
        </w:sectPr>
      </w:pPr>
    </w:p>
    <w:p>
      <w:pPr>
        <w:pStyle w:val="5"/>
        <w:tabs>
          <w:tab w:val="left" w:pos="1980"/>
        </w:tabs>
        <w:snapToGrid w:val="0"/>
        <w:spacing w:after="156" w:afterLines="50" w:line="520" w:lineRule="exact"/>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（四）监理单位</w:t>
      </w:r>
    </w:p>
    <w:tbl>
      <w:tblPr>
        <w:tblStyle w:val="3"/>
        <w:tblpPr w:leftFromText="180" w:rightFromText="180" w:vertAnchor="text" w:horzAnchor="page" w:tblpX="1562" w:tblpY="103"/>
        <w:tblOverlap w:val="never"/>
        <w:tblW w:w="5208" w:type="pct"/>
        <w:tblInd w:w="0" w:type="dxa"/>
        <w:tblLayout w:type="fixed"/>
        <w:tblCellMar>
          <w:top w:w="0" w:type="dxa"/>
          <w:left w:w="108" w:type="dxa"/>
          <w:bottom w:w="0" w:type="dxa"/>
          <w:right w:w="108" w:type="dxa"/>
        </w:tblCellMar>
      </w:tblPr>
      <w:tblGrid>
        <w:gridCol w:w="1306"/>
        <w:gridCol w:w="1259"/>
        <w:gridCol w:w="1770"/>
        <w:gridCol w:w="5229"/>
        <w:gridCol w:w="5200"/>
      </w:tblGrid>
      <w:tr>
        <w:tblPrEx>
          <w:tblCellMar>
            <w:top w:w="0" w:type="dxa"/>
            <w:left w:w="108" w:type="dxa"/>
            <w:bottom w:w="0" w:type="dxa"/>
            <w:right w:w="108" w:type="dxa"/>
          </w:tblCellMar>
        </w:tblPrEx>
        <w:trPr>
          <w:trHeight w:val="636" w:hRule="atLeast"/>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黑体" w:hAnsi="宋体" w:eastAsia="黑体" w:cs="黑体"/>
                <w:color w:val="000000"/>
                <w:sz w:val="24"/>
              </w:rPr>
            </w:pPr>
            <w:r>
              <w:rPr>
                <w:rFonts w:hint="eastAsia" w:ascii="黑体" w:hAnsi="宋体" w:eastAsia="黑体" w:cs="黑体"/>
                <w:color w:val="000000"/>
                <w:kern w:val="0"/>
                <w:sz w:val="24"/>
                <w:lang w:bidi="ar"/>
              </w:rPr>
              <w:t>计分项目</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评价分类</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计分有效期</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计分情形</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计分规则</w:t>
            </w:r>
          </w:p>
        </w:tc>
      </w:tr>
      <w:tr>
        <w:tblPrEx>
          <w:tblCellMar>
            <w:top w:w="0" w:type="dxa"/>
            <w:left w:w="108" w:type="dxa"/>
            <w:bottom w:w="0" w:type="dxa"/>
            <w:right w:w="108" w:type="dxa"/>
          </w:tblCellMar>
        </w:tblPrEx>
        <w:trPr>
          <w:trHeight w:val="1086" w:hRule="atLeast"/>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基础分</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基本信息</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有效期与企业存续期限一致</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企业基本信息</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信用系统获取信息即可获得</w:t>
            </w:r>
            <w:r>
              <w:rPr>
                <w:rFonts w:hint="eastAsia" w:ascii="CESI仿宋-GB2312" w:hAnsi="CESI仿宋-GB2312" w:eastAsia="CESI仿宋-GB2312" w:cs="CESI仿宋-GB2312"/>
                <w:color w:val="000000"/>
                <w:kern w:val="0"/>
                <w:sz w:val="18"/>
                <w:szCs w:val="18"/>
                <w:lang w:bidi="ar"/>
              </w:rPr>
              <w:t>70</w:t>
            </w:r>
            <w:r>
              <w:rPr>
                <w:rFonts w:ascii="CESI仿宋-GB2312" w:hAnsi="CESI仿宋-GB2312" w:eastAsia="CESI仿宋-GB2312" w:cs="CESI仿宋-GB2312"/>
                <w:color w:val="000000"/>
                <w:kern w:val="0"/>
                <w:sz w:val="18"/>
                <w:szCs w:val="18"/>
                <w:lang w:bidi="ar"/>
              </w:rPr>
              <w:t>分</w:t>
            </w:r>
          </w:p>
        </w:tc>
      </w:tr>
      <w:tr>
        <w:tblPrEx>
          <w:tblCellMar>
            <w:top w:w="0" w:type="dxa"/>
            <w:left w:w="108" w:type="dxa"/>
            <w:bottom w:w="0" w:type="dxa"/>
            <w:right w:w="108" w:type="dxa"/>
          </w:tblCellMar>
        </w:tblPrEx>
        <w:trPr>
          <w:trHeight w:val="1054" w:hRule="atLeast"/>
        </w:trPr>
        <w:tc>
          <w:tcPr>
            <w:tcW w:w="442" w:type="pct"/>
            <w:vMerge w:val="restart"/>
            <w:tcBorders>
              <w:left w:val="single" w:color="000000" w:sz="4" w:space="0"/>
              <w:right w:val="single" w:color="000000" w:sz="4" w:space="0"/>
            </w:tcBorders>
            <w:noWrap w:val="0"/>
            <w:vAlign w:val="center"/>
          </w:tcPr>
          <w:p>
            <w:pPr>
              <w:widowControl/>
              <w:textAlignment w:val="cente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p>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业务能力</w:t>
            </w:r>
          </w:p>
          <w:p>
            <w:pPr>
              <w:widowControl/>
              <w:jc w:val="center"/>
              <w:textAlignment w:val="center"/>
              <w:rPr>
                <w:rFonts w:ascii="CESI仿宋-GB2312" w:hAnsi="CESI仿宋-GB2312" w:eastAsia="CESI仿宋-GB2312" w:cs="CESI仿宋-GB2312"/>
                <w:color w:val="000000"/>
                <w:kern w:val="0"/>
                <w:sz w:val="18"/>
                <w:szCs w:val="18"/>
                <w:lang w:bidi="ar"/>
              </w:rPr>
            </w:pP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办理消防设计审查、验收以及备案的良好表现</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sz w:val="18"/>
                <w:szCs w:val="18"/>
              </w:rPr>
            </w:pPr>
            <w:r>
              <w:rPr>
                <w:rFonts w:hint="eastAsia" w:ascii="CESI仿宋-GB2312" w:hAnsi="CESI仿宋-GB2312" w:eastAsia="CESI仿宋-GB2312" w:cs="CESI仿宋-GB2312"/>
                <w:kern w:val="0"/>
                <w:sz w:val="18"/>
                <w:szCs w:val="18"/>
                <w:lang w:bidi="ar"/>
              </w:rPr>
              <w:t>参建项目申请消防设计审查或消防验收或消防验收备案时，资料齐全，内容完整且不存在违反强制性技术规定情形，能够一次性通过的，每宗加1分。</w:t>
            </w:r>
          </w:p>
        </w:tc>
      </w:tr>
      <w:tr>
        <w:tblPrEx>
          <w:tblCellMar>
            <w:top w:w="0" w:type="dxa"/>
            <w:left w:w="108" w:type="dxa"/>
            <w:bottom w:w="0" w:type="dxa"/>
            <w:right w:w="108" w:type="dxa"/>
          </w:tblCellMar>
        </w:tblPrEx>
        <w:trPr>
          <w:trHeight w:val="728" w:hRule="atLeast"/>
        </w:trPr>
        <w:tc>
          <w:tcPr>
            <w:tcW w:w="442" w:type="pct"/>
            <w:vMerge w:val="continue"/>
            <w:tcBorders>
              <w:left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荣誉表彰</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1620" w:firstLineChars="900"/>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建设工程消防相关奖项（市级以上）</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获得市级政府部门表彰、奖励的，每项加3分；</w:t>
            </w:r>
          </w:p>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、获得省、部级政府部门表彰、奖励，每项加5分；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3、获得国家级表彰、奖励，每项加7分.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以上累计</w:t>
            </w:r>
            <w:r>
              <w:rPr>
                <w:rFonts w:hint="eastAsia" w:ascii="CESI仿宋-GB2312" w:hAnsi="CESI仿宋-GB2312" w:eastAsia="CESI仿宋-GB2312" w:cs="CESI仿宋-GB2312"/>
                <w:color w:val="000000"/>
                <w:kern w:val="0"/>
                <w:sz w:val="18"/>
                <w:szCs w:val="18"/>
                <w:lang w:bidi="ar"/>
              </w:rPr>
              <w:t>有效</w:t>
            </w:r>
            <w:r>
              <w:rPr>
                <w:rFonts w:ascii="CESI仿宋-GB2312" w:hAnsi="CESI仿宋-GB2312" w:eastAsia="CESI仿宋-GB2312" w:cs="CESI仿宋-GB2312"/>
                <w:color w:val="000000"/>
                <w:kern w:val="0"/>
                <w:sz w:val="18"/>
                <w:szCs w:val="18"/>
                <w:lang w:bidi="ar"/>
              </w:rPr>
              <w:t>加分不得超过10分。</w:t>
            </w:r>
          </w:p>
        </w:tc>
      </w:tr>
      <w:tr>
        <w:tblPrEx>
          <w:tblCellMar>
            <w:top w:w="0" w:type="dxa"/>
            <w:left w:w="108" w:type="dxa"/>
            <w:bottom w:w="0" w:type="dxa"/>
            <w:right w:w="108" w:type="dxa"/>
          </w:tblCellMar>
        </w:tblPrEx>
        <w:trPr>
          <w:trHeight w:val="675" w:hRule="atLeast"/>
        </w:trPr>
        <w:tc>
          <w:tcPr>
            <w:tcW w:w="442" w:type="pct"/>
            <w:vMerge w:val="continue"/>
            <w:tcBorders>
              <w:left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技术成果</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参与编制建设工程消防领域标准（规范、技术指引）、取得建设</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工程消防领域的科研成果等</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参与编写国家、行业、地方建设工程消防领域技术标准并发</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布实施的，每项加3分，累计加分不得超过10分</w:t>
            </w:r>
            <w:r>
              <w:rPr>
                <w:rFonts w:hint="eastAsia" w:ascii="CESI仿宋-GB2312" w:hAnsi="CESI仿宋-GB2312" w:eastAsia="CESI仿宋-GB2312" w:cs="CESI仿宋-GB2312"/>
                <w:color w:val="000000"/>
                <w:kern w:val="0"/>
                <w:sz w:val="18"/>
                <w:szCs w:val="18"/>
                <w:lang w:bidi="ar"/>
              </w:rPr>
              <w:t>;</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2、取得建设工程消防领域行业发明专利</w:t>
            </w:r>
            <w:r>
              <w:rPr>
                <w:rFonts w:hint="eastAsia" w:ascii="CESI仿宋-GB2312" w:hAnsi="CESI仿宋-GB2312" w:eastAsia="CESI仿宋-GB2312" w:cs="CESI仿宋-GB2312"/>
                <w:color w:val="000000"/>
                <w:kern w:val="0"/>
                <w:sz w:val="18"/>
                <w:szCs w:val="18"/>
                <w:lang w:bidi="ar"/>
              </w:rPr>
              <w:t>，</w:t>
            </w:r>
            <w:r>
              <w:rPr>
                <w:rFonts w:ascii="CESI仿宋-GB2312" w:hAnsi="CESI仿宋-GB2312" w:eastAsia="CESI仿宋-GB2312" w:cs="CESI仿宋-GB2312"/>
                <w:color w:val="000000"/>
                <w:kern w:val="0"/>
                <w:sz w:val="18"/>
                <w:szCs w:val="18"/>
                <w:lang w:bidi="ar"/>
              </w:rPr>
              <w:t>每项加3分，累计加分不得超过10分。</w:t>
            </w:r>
          </w:p>
        </w:tc>
      </w:tr>
      <w:tr>
        <w:tblPrEx>
          <w:tblCellMar>
            <w:top w:w="0" w:type="dxa"/>
            <w:left w:w="108" w:type="dxa"/>
            <w:bottom w:w="0" w:type="dxa"/>
            <w:right w:w="108" w:type="dxa"/>
          </w:tblCellMar>
        </w:tblPrEx>
        <w:trPr>
          <w:trHeight w:val="450" w:hRule="atLeast"/>
        </w:trPr>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扣分项</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履约践诺</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承诺不实或不履行承诺的</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发现适用告知承诺制</w:t>
            </w:r>
            <w:r>
              <w:rPr>
                <w:rFonts w:hint="eastAsia" w:ascii="CESI仿宋-GB2312" w:hAnsi="CESI仿宋-GB2312" w:eastAsia="CESI仿宋-GB2312" w:cs="CESI仿宋-GB2312"/>
                <w:color w:val="000000"/>
                <w:kern w:val="0"/>
                <w:sz w:val="18"/>
                <w:szCs w:val="18"/>
                <w:lang w:bidi="ar"/>
              </w:rPr>
              <w:t>时</w:t>
            </w:r>
            <w:r>
              <w:rPr>
                <w:rFonts w:ascii="CESI仿宋-GB2312" w:hAnsi="CESI仿宋-GB2312" w:eastAsia="CESI仿宋-GB2312" w:cs="CESI仿宋-GB2312"/>
                <w:color w:val="000000"/>
                <w:kern w:val="0"/>
                <w:sz w:val="18"/>
                <w:szCs w:val="18"/>
                <w:lang w:bidi="ar"/>
              </w:rPr>
              <w:t>承诺不实或不履行承诺，尚未被处罚的，每次扣1分，扣分上限10分。</w:t>
            </w:r>
          </w:p>
        </w:tc>
      </w:tr>
      <w:tr>
        <w:tblPrEx>
          <w:tblCellMar>
            <w:top w:w="0" w:type="dxa"/>
            <w:left w:w="108" w:type="dxa"/>
            <w:bottom w:w="0" w:type="dxa"/>
            <w:right w:w="108" w:type="dxa"/>
          </w:tblCellMar>
        </w:tblPrEx>
        <w:trPr>
          <w:trHeight w:val="2817" w:hRule="atLeast"/>
        </w:trPr>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行政处罚</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有效期至处罚信息被依法停止公示</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受到市、区住房城乡建设部门作出的与建设工程消防有关的行政处罚。</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1、受到行政处罚，按《广东省住房和城乡建设系统行政处罚自由裁量权基准》，裁量档次属于从轻的</w:t>
            </w:r>
            <w:r>
              <w:rPr>
                <w:rFonts w:ascii="CESI仿宋-GB2312" w:hAnsi="CESI仿宋-GB2312" w:eastAsia="CESI仿宋-GB2312" w:cs="CESI仿宋-GB2312"/>
                <w:color w:val="000000"/>
                <w:kern w:val="0"/>
                <w:sz w:val="18"/>
                <w:szCs w:val="18"/>
                <w:lang w:bidi="ar"/>
              </w:rPr>
              <w:t>，每次扣5分；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w:t>
            </w:r>
            <w:r>
              <w:rPr>
                <w:rFonts w:ascii="CESI仿宋-GB2312" w:hAnsi="CESI仿宋-GB2312" w:eastAsia="CESI仿宋-GB2312" w:cs="CESI仿宋-GB2312"/>
                <w:color w:val="000000"/>
                <w:kern w:val="0"/>
                <w:sz w:val="18"/>
                <w:szCs w:val="18"/>
                <w:lang w:bidi="ar"/>
              </w:rPr>
              <w:t>一般的，每次扣10分；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3、</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受到行政处罚，按《广东省住房和城乡建设系统行政处罚自由裁量权基准》，裁量档次属于从重</w:t>
            </w:r>
            <w:r>
              <w:rPr>
                <w:rFonts w:ascii="CESI仿宋-GB2312" w:hAnsi="CESI仿宋-GB2312" w:eastAsia="CESI仿宋-GB2312" w:cs="CESI仿宋-GB2312"/>
                <w:color w:val="000000"/>
                <w:kern w:val="0"/>
                <w:sz w:val="18"/>
                <w:szCs w:val="18"/>
                <w:lang w:bidi="ar"/>
              </w:rPr>
              <w:t>的，每次扣20分。</w:t>
            </w:r>
          </w:p>
        </w:tc>
      </w:tr>
      <w:tr>
        <w:tblPrEx>
          <w:tblCellMar>
            <w:top w:w="0" w:type="dxa"/>
            <w:left w:w="108" w:type="dxa"/>
            <w:bottom w:w="0" w:type="dxa"/>
            <w:right w:w="108" w:type="dxa"/>
          </w:tblCellMar>
        </w:tblPrEx>
        <w:trPr>
          <w:trHeight w:val="4145" w:hRule="atLeast"/>
        </w:trPr>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不规范行为</w:t>
            </w:r>
          </w:p>
        </w:tc>
        <w:tc>
          <w:tcPr>
            <w:tcW w:w="59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有效期至不规范行</w:t>
            </w:r>
          </w:p>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为已确认整改（不改正</w:t>
            </w:r>
            <w:r>
              <w:rPr>
                <w:rFonts w:ascii="CESI仿宋-GB2312" w:hAnsi="CESI仿宋-GB2312" w:eastAsia="CESI仿宋-GB2312" w:cs="CESI仿宋-GB2312"/>
                <w:color w:val="000000"/>
                <w:kern w:val="0"/>
                <w:sz w:val="18"/>
                <w:szCs w:val="18"/>
                <w:lang w:bidi="ar"/>
              </w:rPr>
              <w:t>的，</w:t>
            </w:r>
            <w:r>
              <w:rPr>
                <w:rFonts w:hint="eastAsia" w:ascii="CESI仿宋-GB2312" w:hAnsi="CESI仿宋-GB2312" w:eastAsia="CESI仿宋-GB2312" w:cs="CESI仿宋-GB2312"/>
                <w:color w:val="000000"/>
                <w:kern w:val="0"/>
                <w:sz w:val="18"/>
                <w:szCs w:val="18"/>
                <w:lang w:bidi="ar"/>
              </w:rPr>
              <w:t>12个月后</w:t>
            </w:r>
            <w:r>
              <w:rPr>
                <w:rFonts w:ascii="CESI仿宋-GB2312" w:hAnsi="CESI仿宋-GB2312" w:eastAsia="CESI仿宋-GB2312" w:cs="CESI仿宋-GB2312"/>
                <w:color w:val="000000"/>
                <w:kern w:val="0"/>
                <w:sz w:val="18"/>
                <w:szCs w:val="18"/>
                <w:lang w:bidi="ar"/>
              </w:rPr>
              <w:t>清零</w:t>
            </w:r>
            <w:r>
              <w:rPr>
                <w:rFonts w:hint="eastAsia" w:ascii="CESI仿宋-GB2312" w:hAnsi="CESI仿宋-GB2312" w:eastAsia="CESI仿宋-GB2312" w:cs="CESI仿宋-GB2312"/>
                <w:color w:val="000000"/>
                <w:kern w:val="0"/>
                <w:sz w:val="18"/>
                <w:szCs w:val="18"/>
                <w:lang w:bidi="ar"/>
              </w:rPr>
              <w:t>）</w:t>
            </w:r>
          </w:p>
        </w:tc>
        <w:tc>
          <w:tcPr>
            <w:tcW w:w="17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存在以下情形但未达到行政处罚立案条件的：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1.未在消防产品和具有防火性能要求的建筑材料、建筑构配件和设备使用、安装前，核查产品质量证明文件的。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2.同意使用或者安装不合格的消防产品和防火性能不符合要求的建筑材料、建筑构配件和设备的。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3.未依法参加建设单位组织的建设工程竣工验收，未对建设工程消防施工质量签章确认的。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4.派驻施工现场的监理工作人员未按照工程监理规范的要求，采取旁站、巡视和平行检验等形式对消防工程实施监理，或监督不到位的。</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5.其他违反相关规范、标准、规定行为。</w:t>
            </w:r>
          </w:p>
        </w:tc>
        <w:tc>
          <w:tcPr>
            <w:tcW w:w="176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1、因不规范行为依法被市、区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正式约谈，且未因相关行为被扣分的，每次扣</w:t>
            </w:r>
            <w:r>
              <w:rPr>
                <w:rFonts w:hint="eastAsia" w:ascii="CESI仿宋-GB2312" w:hAnsi="CESI仿宋-GB2312" w:eastAsia="CESI仿宋-GB2312" w:cs="CESI仿宋-GB2312"/>
                <w:color w:val="000000"/>
                <w:kern w:val="0"/>
                <w:sz w:val="18"/>
                <w:szCs w:val="18"/>
                <w:lang w:bidi="ar"/>
              </w:rPr>
              <w:t>3</w:t>
            </w:r>
            <w:r>
              <w:rPr>
                <w:rFonts w:ascii="CESI仿宋-GB2312" w:hAnsi="CESI仿宋-GB2312" w:eastAsia="CESI仿宋-GB2312" w:cs="CESI仿宋-GB2312"/>
                <w:color w:val="000000"/>
                <w:kern w:val="0"/>
                <w:sz w:val="18"/>
                <w:szCs w:val="18"/>
                <w:lang w:bidi="ar"/>
              </w:rPr>
              <w:t>分；</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出具整改通知书</w:t>
            </w:r>
            <w:r>
              <w:rPr>
                <w:rFonts w:hint="eastAsia" w:ascii="CESI仿宋-GB2312" w:hAnsi="CESI仿宋-GB2312" w:eastAsia="CESI仿宋-GB2312" w:cs="CESI仿宋-GB2312"/>
                <w:color w:val="000000"/>
                <w:kern w:val="0"/>
                <w:sz w:val="18"/>
                <w:szCs w:val="18"/>
                <w:lang w:bidi="ar"/>
              </w:rPr>
              <w:t>，且未因相关行为被扣分</w:t>
            </w:r>
            <w:r>
              <w:rPr>
                <w:rFonts w:ascii="CESI仿宋-GB2312" w:hAnsi="CESI仿宋-GB2312" w:eastAsia="CESI仿宋-GB2312" w:cs="CESI仿宋-GB2312"/>
                <w:color w:val="000000"/>
                <w:kern w:val="0"/>
                <w:sz w:val="18"/>
                <w:szCs w:val="18"/>
                <w:lang w:bidi="ar"/>
              </w:rPr>
              <w:t>的，每次扣</w:t>
            </w: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分；</w:t>
            </w:r>
          </w:p>
        </w:tc>
      </w:tr>
    </w:tbl>
    <w:p>
      <w:pPr>
        <w:pStyle w:val="5"/>
        <w:tabs>
          <w:tab w:val="left" w:pos="1980"/>
        </w:tabs>
        <w:snapToGrid w:val="0"/>
        <w:spacing w:after="156" w:afterLines="50" w:line="520" w:lineRule="exact"/>
        <w:rPr>
          <w:rFonts w:hint="eastAsia" w:ascii="黑体" w:hAnsi="黑体" w:eastAsia="黑体" w:cs="黑体"/>
          <w:color w:val="000000"/>
          <w:sz w:val="32"/>
          <w:szCs w:val="32"/>
          <w:lang w:bidi="ar"/>
        </w:rPr>
      </w:pPr>
    </w:p>
    <w:p>
      <w:pPr>
        <w:sectPr>
          <w:pgSz w:w="16838" w:h="11906" w:orient="landscape"/>
          <w:pgMar w:top="1800" w:right="1440" w:bottom="1800" w:left="1440" w:header="851" w:footer="992" w:gutter="0"/>
          <w:cols w:space="720" w:num="1"/>
          <w:docGrid w:type="lines" w:linePitch="312" w:charSpace="0"/>
        </w:sectPr>
      </w:pPr>
    </w:p>
    <w:p>
      <w:pPr>
        <w:pStyle w:val="5"/>
        <w:tabs>
          <w:tab w:val="left" w:pos="1980"/>
        </w:tabs>
        <w:snapToGrid w:val="0"/>
        <w:spacing w:after="156" w:afterLines="50" w:line="520" w:lineRule="exact"/>
      </w:pPr>
      <w:r>
        <w:rPr>
          <w:rFonts w:hint="eastAsia" w:ascii="黑体" w:hAnsi="黑体" w:eastAsia="黑体" w:cs="黑体"/>
          <w:color w:val="000000"/>
          <w:sz w:val="32"/>
          <w:szCs w:val="32"/>
          <w:lang w:bidi="ar"/>
        </w:rPr>
        <w:t>（五）施工图审查、消防设计技术审查、</w:t>
      </w:r>
      <w:r>
        <w:rPr>
          <w:rFonts w:ascii="黑体" w:hAnsi="黑体" w:eastAsia="黑体" w:cs="黑体"/>
          <w:color w:val="000000"/>
          <w:sz w:val="32"/>
          <w:szCs w:val="32"/>
          <w:lang w:bidi="ar"/>
        </w:rPr>
        <w:t>验收评定</w:t>
      </w:r>
      <w:r>
        <w:rPr>
          <w:rFonts w:hint="eastAsia" w:ascii="黑体" w:hAnsi="黑体" w:eastAsia="黑体" w:cs="黑体"/>
          <w:color w:val="000000"/>
          <w:sz w:val="32"/>
          <w:szCs w:val="32"/>
          <w:lang w:bidi="ar"/>
        </w:rPr>
        <w:t>单位</w:t>
      </w:r>
    </w:p>
    <w:tbl>
      <w:tblPr>
        <w:tblStyle w:val="3"/>
        <w:tblpPr w:leftFromText="180" w:rightFromText="180" w:vertAnchor="text" w:horzAnchor="page" w:tblpX="1562" w:tblpY="103"/>
        <w:tblOverlap w:val="never"/>
        <w:tblW w:w="4996" w:type="pct"/>
        <w:tblInd w:w="0" w:type="dxa"/>
        <w:tblLayout w:type="autofit"/>
        <w:tblCellMar>
          <w:top w:w="0" w:type="dxa"/>
          <w:left w:w="108" w:type="dxa"/>
          <w:bottom w:w="0" w:type="dxa"/>
          <w:right w:w="108" w:type="dxa"/>
        </w:tblCellMar>
      </w:tblPr>
      <w:tblGrid>
        <w:gridCol w:w="1176"/>
        <w:gridCol w:w="1261"/>
        <w:gridCol w:w="1855"/>
        <w:gridCol w:w="5138"/>
        <w:gridCol w:w="4733"/>
      </w:tblGrid>
      <w:tr>
        <w:tblPrEx>
          <w:tblCellMar>
            <w:top w:w="0" w:type="dxa"/>
            <w:left w:w="108" w:type="dxa"/>
            <w:bottom w:w="0" w:type="dxa"/>
            <w:right w:w="108" w:type="dxa"/>
          </w:tblCellMar>
        </w:tblPrEx>
        <w:trPr>
          <w:trHeight w:val="350" w:hRule="atLeast"/>
        </w:trPr>
        <w:tc>
          <w:tcPr>
            <w:tcW w:w="41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黑体" w:hAnsi="宋体" w:eastAsia="黑体" w:cs="黑体"/>
                <w:color w:val="000000"/>
                <w:sz w:val="24"/>
              </w:rPr>
            </w:pPr>
            <w:r>
              <w:rPr>
                <w:rFonts w:hint="eastAsia" w:ascii="黑体" w:hAnsi="宋体" w:eastAsia="黑体" w:cs="黑体"/>
                <w:color w:val="000000"/>
                <w:kern w:val="0"/>
                <w:sz w:val="24"/>
                <w:lang w:bidi="ar"/>
              </w:rPr>
              <w:t>计分项目</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评价分类</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计分有效期</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计分情形</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计分规则</w:t>
            </w:r>
          </w:p>
        </w:tc>
      </w:tr>
      <w:tr>
        <w:tblPrEx>
          <w:tblCellMar>
            <w:top w:w="0" w:type="dxa"/>
            <w:left w:w="108" w:type="dxa"/>
            <w:bottom w:w="0" w:type="dxa"/>
            <w:right w:w="108" w:type="dxa"/>
          </w:tblCellMar>
        </w:tblPrEx>
        <w:trPr>
          <w:trHeight w:val="2174" w:hRule="atLeast"/>
        </w:trPr>
        <w:tc>
          <w:tcPr>
            <w:tcW w:w="41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基础分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基本信息</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有效期与企业存续期限一致</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企业基本信息</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信用</w:t>
            </w:r>
            <w:r>
              <w:rPr>
                <w:rFonts w:hint="eastAsia" w:ascii="CESI仿宋-GB2312" w:hAnsi="CESI仿宋-GB2312" w:eastAsia="CESI仿宋-GB2312" w:cs="CESI仿宋-GB2312"/>
                <w:color w:val="000000"/>
                <w:kern w:val="0"/>
                <w:sz w:val="18"/>
                <w:szCs w:val="18"/>
                <w:lang w:val="en-US" w:eastAsia="zh-CN" w:bidi="ar"/>
              </w:rPr>
              <w:t>平台</w:t>
            </w:r>
            <w:r>
              <w:rPr>
                <w:rFonts w:ascii="CESI仿宋-GB2312" w:hAnsi="CESI仿宋-GB2312" w:eastAsia="CESI仿宋-GB2312" w:cs="CESI仿宋-GB2312"/>
                <w:color w:val="000000"/>
                <w:kern w:val="0"/>
                <w:sz w:val="18"/>
                <w:szCs w:val="18"/>
                <w:lang w:bidi="ar"/>
              </w:rPr>
              <w:t>获取信息即可获得</w:t>
            </w:r>
            <w:r>
              <w:rPr>
                <w:rFonts w:hint="eastAsia" w:ascii="CESI仿宋-GB2312" w:hAnsi="CESI仿宋-GB2312" w:eastAsia="CESI仿宋-GB2312" w:cs="CESI仿宋-GB2312"/>
                <w:color w:val="000000"/>
                <w:kern w:val="0"/>
                <w:sz w:val="18"/>
                <w:szCs w:val="18"/>
                <w:lang w:bidi="ar"/>
              </w:rPr>
              <w:t>70</w:t>
            </w:r>
            <w:r>
              <w:rPr>
                <w:rFonts w:ascii="CESI仿宋-GB2312" w:hAnsi="CESI仿宋-GB2312" w:eastAsia="CESI仿宋-GB2312" w:cs="CESI仿宋-GB2312"/>
                <w:color w:val="000000"/>
                <w:kern w:val="0"/>
                <w:sz w:val="18"/>
                <w:szCs w:val="18"/>
                <w:lang w:bidi="ar"/>
              </w:rPr>
              <w:t>分</w:t>
            </w:r>
          </w:p>
        </w:tc>
      </w:tr>
      <w:tr>
        <w:tblPrEx>
          <w:tblCellMar>
            <w:top w:w="0" w:type="dxa"/>
            <w:left w:w="108" w:type="dxa"/>
            <w:bottom w:w="0" w:type="dxa"/>
            <w:right w:w="108" w:type="dxa"/>
          </w:tblCellMar>
        </w:tblPrEx>
        <w:trPr>
          <w:trHeight w:val="1036" w:hRule="atLeast"/>
        </w:trPr>
        <w:tc>
          <w:tcPr>
            <w:tcW w:w="415" w:type="pct"/>
            <w:vMerge w:val="restart"/>
            <w:tcBorders>
              <w:left w:val="single" w:color="000000" w:sz="4" w:space="0"/>
              <w:right w:val="single" w:color="000000" w:sz="4" w:space="0"/>
            </w:tcBorders>
            <w:noWrap w:val="0"/>
            <w:vAlign w:val="center"/>
          </w:tcPr>
          <w:p>
            <w:pPr>
              <w:widowControl/>
              <w:textAlignment w:val="cente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p>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业务能力</w:t>
            </w:r>
          </w:p>
          <w:p>
            <w:pPr>
              <w:widowControl/>
              <w:jc w:val="center"/>
              <w:textAlignment w:val="center"/>
              <w:rPr>
                <w:rFonts w:ascii="CESI仿宋-GB2312" w:hAnsi="CESI仿宋-GB2312" w:eastAsia="CESI仿宋-GB2312" w:cs="CESI仿宋-GB2312"/>
                <w:color w:val="000000"/>
                <w:kern w:val="0"/>
                <w:sz w:val="18"/>
                <w:szCs w:val="18"/>
                <w:lang w:bidi="ar"/>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办理消防设计审查、验收以及备案的良好表现</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kern w:val="0"/>
                <w:sz w:val="18"/>
                <w:szCs w:val="18"/>
                <w:lang w:bidi="ar"/>
              </w:rPr>
              <w:t>参建项目申请消防设计审查或消防验收或消防验收备案时，资料齐全，内容完整且不存在违反强制性技术规定情形，能够一次性通过的，每宗加1分。</w:t>
            </w:r>
          </w:p>
        </w:tc>
      </w:tr>
      <w:tr>
        <w:tblPrEx>
          <w:tblCellMar>
            <w:top w:w="0" w:type="dxa"/>
            <w:left w:w="108" w:type="dxa"/>
            <w:bottom w:w="0" w:type="dxa"/>
            <w:right w:w="108" w:type="dxa"/>
          </w:tblCellMar>
        </w:tblPrEx>
        <w:trPr>
          <w:trHeight w:val="728" w:hRule="atLeast"/>
        </w:trPr>
        <w:tc>
          <w:tcPr>
            <w:tcW w:w="415" w:type="pct"/>
            <w:vMerge w:val="continue"/>
            <w:tcBorders>
              <w:left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荣誉表彰</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1800" w:firstLineChars="1000"/>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建设工程消防相关奖项（市级以上）</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获得市级政府部门表彰、奖励的，每项加3分；</w:t>
            </w:r>
          </w:p>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、获得省、部级政府部门表彰、奖励，每项加5分；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3、获得国家级表彰、奖励，每项加7分.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以上累计</w:t>
            </w:r>
            <w:r>
              <w:rPr>
                <w:rFonts w:hint="eastAsia" w:ascii="CESI仿宋-GB2312" w:hAnsi="CESI仿宋-GB2312" w:eastAsia="CESI仿宋-GB2312" w:cs="CESI仿宋-GB2312"/>
                <w:color w:val="000000"/>
                <w:kern w:val="0"/>
                <w:sz w:val="18"/>
                <w:szCs w:val="18"/>
                <w:lang w:bidi="ar"/>
              </w:rPr>
              <w:t>有效</w:t>
            </w:r>
            <w:r>
              <w:rPr>
                <w:rFonts w:ascii="CESI仿宋-GB2312" w:hAnsi="CESI仿宋-GB2312" w:eastAsia="CESI仿宋-GB2312" w:cs="CESI仿宋-GB2312"/>
                <w:color w:val="000000"/>
                <w:kern w:val="0"/>
                <w:sz w:val="18"/>
                <w:szCs w:val="18"/>
                <w:lang w:bidi="ar"/>
              </w:rPr>
              <w:t>加分不得超过10分。</w:t>
            </w:r>
          </w:p>
        </w:tc>
      </w:tr>
      <w:tr>
        <w:tblPrEx>
          <w:tblCellMar>
            <w:top w:w="0" w:type="dxa"/>
            <w:left w:w="108" w:type="dxa"/>
            <w:bottom w:w="0" w:type="dxa"/>
            <w:right w:w="108" w:type="dxa"/>
          </w:tblCellMar>
        </w:tblPrEx>
        <w:trPr>
          <w:trHeight w:val="675" w:hRule="atLeast"/>
        </w:trPr>
        <w:tc>
          <w:tcPr>
            <w:tcW w:w="415" w:type="pct"/>
            <w:vMerge w:val="continue"/>
            <w:tcBorders>
              <w:left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技术成果</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参与编制建设工程消防领域标准（规范、技术指引）、取得建设</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工程消防领域的科研成果等</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参与编写国家、行业、地方建设工程消防领域技术标准并发布实施的，每项加3分，累计加分不得超过10分</w:t>
            </w:r>
            <w:r>
              <w:rPr>
                <w:rFonts w:hint="eastAsia" w:ascii="CESI仿宋-GB2312" w:hAnsi="CESI仿宋-GB2312" w:eastAsia="CESI仿宋-GB2312" w:cs="CESI仿宋-GB2312"/>
                <w:color w:val="000000"/>
                <w:kern w:val="0"/>
                <w:sz w:val="18"/>
                <w:szCs w:val="18"/>
                <w:lang w:bidi="ar"/>
              </w:rPr>
              <w:t>;</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2、取得建设工程消防领域行业发明专利</w:t>
            </w:r>
            <w:r>
              <w:rPr>
                <w:rFonts w:hint="eastAsia" w:ascii="CESI仿宋-GB2312" w:hAnsi="CESI仿宋-GB2312" w:eastAsia="CESI仿宋-GB2312" w:cs="CESI仿宋-GB2312"/>
                <w:color w:val="000000"/>
                <w:kern w:val="0"/>
                <w:sz w:val="18"/>
                <w:szCs w:val="18"/>
                <w:lang w:bidi="ar"/>
              </w:rPr>
              <w:t>，</w:t>
            </w:r>
            <w:r>
              <w:rPr>
                <w:rFonts w:ascii="CESI仿宋-GB2312" w:hAnsi="CESI仿宋-GB2312" w:eastAsia="CESI仿宋-GB2312" w:cs="CESI仿宋-GB2312"/>
                <w:color w:val="000000"/>
                <w:kern w:val="0"/>
                <w:sz w:val="18"/>
                <w:szCs w:val="18"/>
                <w:lang w:bidi="ar"/>
              </w:rPr>
              <w:t>每项加3分，累计加分不得超过10分。</w:t>
            </w:r>
          </w:p>
        </w:tc>
      </w:tr>
      <w:tr>
        <w:tblPrEx>
          <w:tblCellMar>
            <w:top w:w="0" w:type="dxa"/>
            <w:left w:w="108" w:type="dxa"/>
            <w:bottom w:w="0" w:type="dxa"/>
            <w:right w:w="108" w:type="dxa"/>
          </w:tblCellMar>
        </w:tblPrEx>
        <w:trPr>
          <w:trHeight w:val="450" w:hRule="atLeast"/>
        </w:trPr>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扣分项</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履约践诺</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承诺不实或不履行承诺的</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发现适用告知承诺制</w:t>
            </w:r>
            <w:r>
              <w:rPr>
                <w:rFonts w:hint="eastAsia" w:ascii="CESI仿宋-GB2312" w:hAnsi="CESI仿宋-GB2312" w:eastAsia="CESI仿宋-GB2312" w:cs="CESI仿宋-GB2312"/>
                <w:color w:val="000000"/>
                <w:kern w:val="0"/>
                <w:sz w:val="18"/>
                <w:szCs w:val="18"/>
                <w:lang w:bidi="ar"/>
              </w:rPr>
              <w:t>时</w:t>
            </w:r>
            <w:r>
              <w:rPr>
                <w:rFonts w:ascii="CESI仿宋-GB2312" w:hAnsi="CESI仿宋-GB2312" w:eastAsia="CESI仿宋-GB2312" w:cs="CESI仿宋-GB2312"/>
                <w:color w:val="000000"/>
                <w:kern w:val="0"/>
                <w:sz w:val="18"/>
                <w:szCs w:val="18"/>
                <w:lang w:bidi="ar"/>
              </w:rPr>
              <w:t>承诺不实或不履行承诺，尚未被处罚的，每次扣1分，扣分上限10分。</w:t>
            </w:r>
          </w:p>
        </w:tc>
      </w:tr>
      <w:tr>
        <w:tblPrEx>
          <w:tblCellMar>
            <w:top w:w="0" w:type="dxa"/>
            <w:left w:w="108" w:type="dxa"/>
            <w:bottom w:w="0" w:type="dxa"/>
            <w:right w:w="108" w:type="dxa"/>
          </w:tblCellMar>
        </w:tblPrEx>
        <w:trPr>
          <w:trHeight w:val="2568" w:hRule="atLeast"/>
        </w:trPr>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行政处罚</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有效期至处罚信息被依法停止公示</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受到市、区住房城乡建设部门作出的与建设工程消防有关的行政处罚。</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1、受到行政处罚，按《广东省住房和城乡建设系统行政处罚自由裁量权基准》，裁量档次属于从轻的</w:t>
            </w:r>
            <w:r>
              <w:rPr>
                <w:rFonts w:ascii="CESI仿宋-GB2312" w:hAnsi="CESI仿宋-GB2312" w:eastAsia="CESI仿宋-GB2312" w:cs="CESI仿宋-GB2312"/>
                <w:color w:val="000000"/>
                <w:kern w:val="0"/>
                <w:sz w:val="18"/>
                <w:szCs w:val="18"/>
                <w:lang w:bidi="ar"/>
              </w:rPr>
              <w:t>，每次扣5分；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w:t>
            </w:r>
            <w:r>
              <w:rPr>
                <w:rFonts w:ascii="CESI仿宋-GB2312" w:hAnsi="CESI仿宋-GB2312" w:eastAsia="CESI仿宋-GB2312" w:cs="CESI仿宋-GB2312"/>
                <w:color w:val="000000"/>
                <w:kern w:val="0"/>
                <w:sz w:val="18"/>
                <w:szCs w:val="18"/>
                <w:lang w:bidi="ar"/>
              </w:rPr>
              <w:t>一般的，每次扣10分；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3、</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受到行政处罚，按《广东省住房和城乡建设系统行政处罚自由裁量权基准》，裁量档次属于从重</w:t>
            </w:r>
            <w:r>
              <w:rPr>
                <w:rFonts w:ascii="CESI仿宋-GB2312" w:hAnsi="CESI仿宋-GB2312" w:eastAsia="CESI仿宋-GB2312" w:cs="CESI仿宋-GB2312"/>
                <w:color w:val="000000"/>
                <w:kern w:val="0"/>
                <w:sz w:val="18"/>
                <w:szCs w:val="18"/>
                <w:lang w:bidi="ar"/>
              </w:rPr>
              <w:t>的，每次扣20分。</w:t>
            </w:r>
          </w:p>
        </w:tc>
      </w:tr>
      <w:tr>
        <w:tblPrEx>
          <w:tblCellMar>
            <w:top w:w="0" w:type="dxa"/>
            <w:left w:w="108" w:type="dxa"/>
            <w:bottom w:w="0" w:type="dxa"/>
            <w:right w:w="108" w:type="dxa"/>
          </w:tblCellMar>
        </w:tblPrEx>
        <w:trPr>
          <w:trHeight w:val="270" w:hRule="atLeast"/>
        </w:trPr>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不规范行为</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有效期至不规范行</w:t>
            </w:r>
          </w:p>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为已确认整改（不改正</w:t>
            </w:r>
            <w:r>
              <w:rPr>
                <w:rFonts w:ascii="CESI仿宋-GB2312" w:hAnsi="CESI仿宋-GB2312" w:eastAsia="CESI仿宋-GB2312" w:cs="CESI仿宋-GB2312"/>
                <w:color w:val="000000"/>
                <w:kern w:val="0"/>
                <w:sz w:val="18"/>
                <w:szCs w:val="18"/>
                <w:lang w:bidi="ar"/>
              </w:rPr>
              <w:t>的，</w:t>
            </w:r>
            <w:r>
              <w:rPr>
                <w:rFonts w:hint="eastAsia" w:ascii="CESI仿宋-GB2312" w:hAnsi="CESI仿宋-GB2312" w:eastAsia="CESI仿宋-GB2312" w:cs="CESI仿宋-GB2312"/>
                <w:color w:val="000000"/>
                <w:kern w:val="0"/>
                <w:sz w:val="18"/>
                <w:szCs w:val="18"/>
                <w:lang w:bidi="ar"/>
              </w:rPr>
              <w:t>12个月后</w:t>
            </w:r>
            <w:r>
              <w:rPr>
                <w:rFonts w:ascii="CESI仿宋-GB2312" w:hAnsi="CESI仿宋-GB2312" w:eastAsia="CESI仿宋-GB2312" w:cs="CESI仿宋-GB2312"/>
                <w:color w:val="000000"/>
                <w:kern w:val="0"/>
                <w:sz w:val="18"/>
                <w:szCs w:val="18"/>
                <w:lang w:bidi="ar"/>
              </w:rPr>
              <w:t>清零</w:t>
            </w:r>
            <w:r>
              <w:rPr>
                <w:rFonts w:hint="eastAsia" w:ascii="CESI仿宋-GB2312" w:hAnsi="CESI仿宋-GB2312" w:eastAsia="CESI仿宋-GB2312" w:cs="CESI仿宋-GB2312"/>
                <w:color w:val="000000"/>
                <w:kern w:val="0"/>
                <w:sz w:val="18"/>
                <w:szCs w:val="18"/>
                <w:lang w:bidi="ar"/>
              </w:rPr>
              <w:t>）</w:t>
            </w:r>
          </w:p>
        </w:tc>
        <w:tc>
          <w:tcPr>
            <w:tcW w:w="1814"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存在以下情形但未达到行政处罚立案条件的：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1.未按要求使用符合相关行业管理规定条件的审查人员，未建立项目审查档案，完整归档保存的。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2.出具不准确的审查结论</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3.未按照规定在审查合格书或消防设计文件上签字盖章的。</w:t>
            </w:r>
          </w:p>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4.经审查出具合格书后仍有违反法律、法规和工程建设强制性标准的。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5.依法需要办理建设工程规划许可的项目，未取得项目规划许可文件，先行出具技术审查合格报告的。</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6.其他违反相关规范、标准、规定行为。</w:t>
            </w:r>
          </w:p>
        </w:tc>
        <w:tc>
          <w:tcPr>
            <w:tcW w:w="1671"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1、因不规范行为依法被市、区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正式约谈，且未因相关行为被扣分的，每次扣</w:t>
            </w:r>
            <w:r>
              <w:rPr>
                <w:rFonts w:hint="eastAsia" w:ascii="CESI仿宋-GB2312" w:hAnsi="CESI仿宋-GB2312" w:eastAsia="CESI仿宋-GB2312" w:cs="CESI仿宋-GB2312"/>
                <w:color w:val="000000"/>
                <w:kern w:val="0"/>
                <w:sz w:val="18"/>
                <w:szCs w:val="18"/>
                <w:lang w:bidi="ar"/>
              </w:rPr>
              <w:t>3</w:t>
            </w:r>
            <w:r>
              <w:rPr>
                <w:rFonts w:ascii="CESI仿宋-GB2312" w:hAnsi="CESI仿宋-GB2312" w:eastAsia="CESI仿宋-GB2312" w:cs="CESI仿宋-GB2312"/>
                <w:color w:val="000000"/>
                <w:kern w:val="0"/>
                <w:sz w:val="18"/>
                <w:szCs w:val="18"/>
                <w:lang w:bidi="ar"/>
              </w:rPr>
              <w:t>分；</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出具整改通知书</w:t>
            </w:r>
            <w:r>
              <w:rPr>
                <w:rFonts w:hint="eastAsia" w:ascii="CESI仿宋-GB2312" w:hAnsi="CESI仿宋-GB2312" w:eastAsia="CESI仿宋-GB2312" w:cs="CESI仿宋-GB2312"/>
                <w:color w:val="000000"/>
                <w:kern w:val="0"/>
                <w:sz w:val="18"/>
                <w:szCs w:val="18"/>
                <w:lang w:bidi="ar"/>
              </w:rPr>
              <w:t>，且未因相关行为被扣分</w:t>
            </w:r>
            <w:r>
              <w:rPr>
                <w:rFonts w:ascii="CESI仿宋-GB2312" w:hAnsi="CESI仿宋-GB2312" w:eastAsia="CESI仿宋-GB2312" w:cs="CESI仿宋-GB2312"/>
                <w:color w:val="000000"/>
                <w:kern w:val="0"/>
                <w:sz w:val="18"/>
                <w:szCs w:val="18"/>
                <w:lang w:bidi="ar"/>
              </w:rPr>
              <w:t>的，每次扣</w:t>
            </w: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分；</w:t>
            </w:r>
          </w:p>
        </w:tc>
      </w:tr>
    </w:tbl>
    <w:p>
      <w:pPr>
        <w:sectPr>
          <w:pgSz w:w="16838" w:h="11906" w:orient="landscape"/>
          <w:pgMar w:top="1800" w:right="1440" w:bottom="1800" w:left="1440" w:header="851" w:footer="992" w:gutter="0"/>
          <w:cols w:space="720" w:num="1"/>
          <w:docGrid w:type="lines" w:linePitch="312" w:charSpace="0"/>
        </w:sectPr>
      </w:pPr>
    </w:p>
    <w:p>
      <w:pPr>
        <w:pStyle w:val="5"/>
        <w:tabs>
          <w:tab w:val="left" w:pos="1980"/>
        </w:tabs>
        <w:snapToGrid w:val="0"/>
        <w:spacing w:line="520" w:lineRule="exact"/>
        <w:rPr>
          <w:rFonts w:ascii="黑体" w:hAnsi="黑体" w:eastAsia="黑体" w:cs="黑体"/>
          <w:color w:val="000000"/>
          <w:sz w:val="32"/>
          <w:szCs w:val="32"/>
          <w:lang w:bidi="ar"/>
        </w:rPr>
      </w:pPr>
      <w:r>
        <w:rPr>
          <w:rFonts w:hint="eastAsia" w:ascii="黑体" w:hAnsi="黑体" w:eastAsia="黑体" w:cs="黑体"/>
          <w:color w:val="000000"/>
          <w:sz w:val="32"/>
          <w:szCs w:val="32"/>
          <w:lang w:bidi="ar"/>
        </w:rPr>
        <w:t>（六）消防检测单位</w:t>
      </w:r>
    </w:p>
    <w:tbl>
      <w:tblPr>
        <w:tblStyle w:val="3"/>
        <w:tblpPr w:leftFromText="180" w:rightFromText="180" w:vertAnchor="text" w:horzAnchor="page" w:tblpX="1562" w:tblpY="103"/>
        <w:tblOverlap w:val="never"/>
        <w:tblW w:w="4996" w:type="pct"/>
        <w:tblInd w:w="0" w:type="dxa"/>
        <w:tblLayout w:type="autofit"/>
        <w:tblCellMar>
          <w:top w:w="0" w:type="dxa"/>
          <w:left w:w="108" w:type="dxa"/>
          <w:bottom w:w="0" w:type="dxa"/>
          <w:right w:w="108" w:type="dxa"/>
        </w:tblCellMar>
      </w:tblPr>
      <w:tblGrid>
        <w:gridCol w:w="1450"/>
        <w:gridCol w:w="1396"/>
        <w:gridCol w:w="1722"/>
        <w:gridCol w:w="4844"/>
        <w:gridCol w:w="4751"/>
      </w:tblGrid>
      <w:tr>
        <w:tblPrEx>
          <w:tblCellMar>
            <w:top w:w="0" w:type="dxa"/>
            <w:left w:w="108" w:type="dxa"/>
            <w:bottom w:w="0" w:type="dxa"/>
            <w:right w:w="108" w:type="dxa"/>
          </w:tblCellMar>
        </w:tblPrEx>
        <w:trPr>
          <w:trHeight w:val="674"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黑体" w:hAnsi="宋体" w:eastAsia="黑体" w:cs="黑体"/>
                <w:color w:val="000000"/>
                <w:sz w:val="24"/>
              </w:rPr>
            </w:pPr>
            <w:r>
              <w:rPr>
                <w:rFonts w:hint="eastAsia" w:ascii="黑体" w:hAnsi="宋体" w:eastAsia="黑体" w:cs="黑体"/>
                <w:color w:val="000000"/>
                <w:kern w:val="0"/>
                <w:sz w:val="24"/>
                <w:lang w:bidi="ar"/>
              </w:rPr>
              <w:t>计分项目</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评价分类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计分有效期</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sz w:val="24"/>
              </w:rPr>
              <w:t>计分情形</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计分规则</w:t>
            </w:r>
          </w:p>
        </w:tc>
      </w:tr>
      <w:tr>
        <w:tblPrEx>
          <w:tblCellMar>
            <w:top w:w="0" w:type="dxa"/>
            <w:left w:w="108" w:type="dxa"/>
            <w:bottom w:w="0" w:type="dxa"/>
            <w:right w:w="108" w:type="dxa"/>
          </w:tblCellMar>
        </w:tblPrEx>
        <w:trPr>
          <w:trHeight w:val="1304" w:hRule="atLeast"/>
        </w:trPr>
        <w:tc>
          <w:tcPr>
            <w:tcW w:w="5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基础分</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基本信息</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有效期与企业存续期限一致</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企业基本信息</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信用</w:t>
            </w:r>
            <w:r>
              <w:rPr>
                <w:rFonts w:hint="eastAsia" w:ascii="CESI仿宋-GB2312" w:hAnsi="CESI仿宋-GB2312" w:eastAsia="CESI仿宋-GB2312" w:cs="CESI仿宋-GB2312"/>
                <w:color w:val="000000"/>
                <w:kern w:val="0"/>
                <w:sz w:val="18"/>
                <w:szCs w:val="18"/>
                <w:lang w:val="en-US" w:eastAsia="zh-CN" w:bidi="ar"/>
              </w:rPr>
              <w:t>平台</w:t>
            </w:r>
            <w:r>
              <w:rPr>
                <w:rFonts w:ascii="CESI仿宋-GB2312" w:hAnsi="CESI仿宋-GB2312" w:eastAsia="CESI仿宋-GB2312" w:cs="CESI仿宋-GB2312"/>
                <w:color w:val="000000"/>
                <w:kern w:val="0"/>
                <w:sz w:val="18"/>
                <w:szCs w:val="18"/>
                <w:lang w:bidi="ar"/>
              </w:rPr>
              <w:t>获取信息即可获得</w:t>
            </w:r>
            <w:r>
              <w:rPr>
                <w:rFonts w:hint="eastAsia" w:ascii="CESI仿宋-GB2312" w:hAnsi="CESI仿宋-GB2312" w:eastAsia="CESI仿宋-GB2312" w:cs="CESI仿宋-GB2312"/>
                <w:color w:val="000000"/>
                <w:kern w:val="0"/>
                <w:sz w:val="18"/>
                <w:szCs w:val="18"/>
                <w:lang w:bidi="ar"/>
              </w:rPr>
              <w:t>70</w:t>
            </w:r>
            <w:r>
              <w:rPr>
                <w:rFonts w:ascii="CESI仿宋-GB2312" w:hAnsi="CESI仿宋-GB2312" w:eastAsia="CESI仿宋-GB2312" w:cs="CESI仿宋-GB2312"/>
                <w:color w:val="000000"/>
                <w:kern w:val="0"/>
                <w:sz w:val="18"/>
                <w:szCs w:val="18"/>
                <w:lang w:bidi="ar"/>
              </w:rPr>
              <w:t>分</w:t>
            </w:r>
          </w:p>
        </w:tc>
      </w:tr>
      <w:tr>
        <w:tblPrEx>
          <w:tblCellMar>
            <w:top w:w="0" w:type="dxa"/>
            <w:left w:w="108" w:type="dxa"/>
            <w:bottom w:w="0" w:type="dxa"/>
            <w:right w:w="108" w:type="dxa"/>
          </w:tblCellMar>
        </w:tblPrEx>
        <w:trPr>
          <w:trHeight w:val="728" w:hRule="atLeast"/>
        </w:trPr>
        <w:tc>
          <w:tcPr>
            <w:tcW w:w="512" w:type="pct"/>
            <w:vMerge w:val="restart"/>
            <w:tcBorders>
              <w:left w:val="single" w:color="000000" w:sz="4" w:space="0"/>
              <w:right w:val="single" w:color="000000" w:sz="4" w:space="0"/>
            </w:tcBorders>
            <w:noWrap w:val="0"/>
            <w:vAlign w:val="center"/>
          </w:tcPr>
          <w:p>
            <w:pPr>
              <w:widowControl/>
              <w:textAlignment w:val="cente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p>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业务能力</w:t>
            </w:r>
          </w:p>
          <w:p>
            <w:pPr>
              <w:widowControl/>
              <w:jc w:val="center"/>
              <w:textAlignment w:val="center"/>
              <w:rPr>
                <w:rFonts w:ascii="CESI仿宋-GB2312" w:hAnsi="CESI仿宋-GB2312" w:eastAsia="CESI仿宋-GB2312" w:cs="CESI仿宋-GB2312"/>
                <w:color w:val="000000"/>
                <w:kern w:val="0"/>
                <w:sz w:val="18"/>
                <w:szCs w:val="18"/>
                <w:lang w:bidi="ar"/>
              </w:rPr>
            </w:pP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办理消防设计审查、验收以及备案的良好表现</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kern w:val="0"/>
                <w:sz w:val="18"/>
                <w:szCs w:val="18"/>
                <w:lang w:bidi="ar"/>
              </w:rPr>
              <w:t>参建项目申请消防设计审查或消防验收或消防验收备案时，资料齐全，内容完整且不存在违反强制性技术规定情形，能够一次性通过的，每宗加1分。</w:t>
            </w:r>
          </w:p>
        </w:tc>
      </w:tr>
      <w:tr>
        <w:tblPrEx>
          <w:tblCellMar>
            <w:top w:w="0" w:type="dxa"/>
            <w:left w:w="108" w:type="dxa"/>
            <w:bottom w:w="0" w:type="dxa"/>
            <w:right w:w="108" w:type="dxa"/>
          </w:tblCellMar>
        </w:tblPrEx>
        <w:trPr>
          <w:trHeight w:val="728" w:hRule="atLeast"/>
        </w:trPr>
        <w:tc>
          <w:tcPr>
            <w:tcW w:w="512" w:type="pct"/>
            <w:vMerge w:val="continue"/>
            <w:tcBorders>
              <w:left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180" w:firstLineChars="100"/>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荣誉表彰</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900" w:firstLineChars="500"/>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建设工程消防相关奖项（市级以上）</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获得市级政府部门表彰、奖励的，每项加3分；</w:t>
            </w:r>
          </w:p>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、获得省、部级政府部门表彰、奖励，每项加5分；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3、获得国家级表彰、奖励，每项加7分.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以上累计</w:t>
            </w:r>
            <w:r>
              <w:rPr>
                <w:rFonts w:hint="eastAsia" w:ascii="CESI仿宋-GB2312" w:hAnsi="CESI仿宋-GB2312" w:eastAsia="CESI仿宋-GB2312" w:cs="CESI仿宋-GB2312"/>
                <w:color w:val="000000"/>
                <w:kern w:val="0"/>
                <w:sz w:val="18"/>
                <w:szCs w:val="18"/>
                <w:lang w:bidi="ar"/>
              </w:rPr>
              <w:t>有效</w:t>
            </w:r>
            <w:r>
              <w:rPr>
                <w:rFonts w:ascii="CESI仿宋-GB2312" w:hAnsi="CESI仿宋-GB2312" w:eastAsia="CESI仿宋-GB2312" w:cs="CESI仿宋-GB2312"/>
                <w:color w:val="000000"/>
                <w:kern w:val="0"/>
                <w:sz w:val="18"/>
                <w:szCs w:val="18"/>
                <w:lang w:bidi="ar"/>
              </w:rPr>
              <w:t>加分不得超过10分。</w:t>
            </w:r>
          </w:p>
        </w:tc>
      </w:tr>
      <w:tr>
        <w:tblPrEx>
          <w:tblCellMar>
            <w:top w:w="0" w:type="dxa"/>
            <w:left w:w="108" w:type="dxa"/>
            <w:bottom w:w="0" w:type="dxa"/>
            <w:right w:w="108" w:type="dxa"/>
          </w:tblCellMar>
        </w:tblPrEx>
        <w:trPr>
          <w:trHeight w:val="675" w:hRule="atLeast"/>
        </w:trPr>
        <w:tc>
          <w:tcPr>
            <w:tcW w:w="512" w:type="pct"/>
            <w:vMerge w:val="continue"/>
            <w:tcBorders>
              <w:left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技术成果</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参与编制建设工程消防领域标准（规范、技术指引）、取得建</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设工程消防领域的科研成果等</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w:t>
            </w:r>
            <w:r>
              <w:rPr>
                <w:rFonts w:ascii="CESI仿宋-GB2312" w:hAnsi="CESI仿宋-GB2312" w:eastAsia="CESI仿宋-GB2312" w:cs="CESI仿宋-GB2312"/>
                <w:color w:val="000000"/>
                <w:kern w:val="0"/>
                <w:sz w:val="18"/>
                <w:szCs w:val="18"/>
                <w:lang w:bidi="ar"/>
              </w:rPr>
              <w:t>参与编写国家、行业、地方建设工程消防领域技术标准并发布实施的，每项加3分，累计加分不得超过10分</w:t>
            </w:r>
            <w:r>
              <w:rPr>
                <w:rFonts w:hint="eastAsia" w:ascii="CESI仿宋-GB2312" w:hAnsi="CESI仿宋-GB2312" w:eastAsia="CESI仿宋-GB2312" w:cs="CESI仿宋-GB2312"/>
                <w:color w:val="000000"/>
                <w:kern w:val="0"/>
                <w:sz w:val="18"/>
                <w:szCs w:val="18"/>
                <w:lang w:bidi="ar"/>
              </w:rPr>
              <w:t>;</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2、取得建设工程消防领域行业发明专利</w:t>
            </w:r>
            <w:r>
              <w:rPr>
                <w:rFonts w:hint="eastAsia" w:ascii="CESI仿宋-GB2312" w:hAnsi="CESI仿宋-GB2312" w:eastAsia="CESI仿宋-GB2312" w:cs="CESI仿宋-GB2312"/>
                <w:color w:val="000000"/>
                <w:kern w:val="0"/>
                <w:sz w:val="18"/>
                <w:szCs w:val="18"/>
                <w:lang w:bidi="ar"/>
              </w:rPr>
              <w:t>，</w:t>
            </w:r>
            <w:r>
              <w:rPr>
                <w:rFonts w:ascii="CESI仿宋-GB2312" w:hAnsi="CESI仿宋-GB2312" w:eastAsia="CESI仿宋-GB2312" w:cs="CESI仿宋-GB2312"/>
                <w:color w:val="000000"/>
                <w:kern w:val="0"/>
                <w:sz w:val="18"/>
                <w:szCs w:val="18"/>
                <w:lang w:bidi="ar"/>
              </w:rPr>
              <w:t>每项加3分，累计加分不得超过10分。</w:t>
            </w:r>
          </w:p>
        </w:tc>
      </w:tr>
      <w:tr>
        <w:tblPrEx>
          <w:tblCellMar>
            <w:top w:w="0" w:type="dxa"/>
            <w:left w:w="108" w:type="dxa"/>
            <w:bottom w:w="0" w:type="dxa"/>
            <w:right w:w="108" w:type="dxa"/>
          </w:tblCellMar>
        </w:tblPrEx>
        <w:trPr>
          <w:trHeight w:val="450" w:hRule="atLeast"/>
        </w:trPr>
        <w:tc>
          <w:tcPr>
            <w:tcW w:w="51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扣分项</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履约践诺</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计分12个月后清零</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承诺不实或不履行承诺的</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发现适用告知承诺制</w:t>
            </w:r>
            <w:r>
              <w:rPr>
                <w:rFonts w:hint="eastAsia" w:ascii="CESI仿宋-GB2312" w:hAnsi="CESI仿宋-GB2312" w:eastAsia="CESI仿宋-GB2312" w:cs="CESI仿宋-GB2312"/>
                <w:color w:val="000000"/>
                <w:kern w:val="0"/>
                <w:sz w:val="18"/>
                <w:szCs w:val="18"/>
                <w:lang w:bidi="ar"/>
              </w:rPr>
              <w:t>时</w:t>
            </w:r>
            <w:r>
              <w:rPr>
                <w:rFonts w:ascii="CESI仿宋-GB2312" w:hAnsi="CESI仿宋-GB2312" w:eastAsia="CESI仿宋-GB2312" w:cs="CESI仿宋-GB2312"/>
                <w:color w:val="000000"/>
                <w:kern w:val="0"/>
                <w:sz w:val="18"/>
                <w:szCs w:val="18"/>
                <w:lang w:bidi="ar"/>
              </w:rPr>
              <w:t>承诺不实或不履行承诺，尚未被处罚的，每次扣1分，扣分上限10分。</w:t>
            </w:r>
          </w:p>
        </w:tc>
      </w:tr>
      <w:tr>
        <w:tblPrEx>
          <w:tblCellMar>
            <w:top w:w="0" w:type="dxa"/>
            <w:left w:w="108" w:type="dxa"/>
            <w:bottom w:w="0" w:type="dxa"/>
            <w:right w:w="108" w:type="dxa"/>
          </w:tblCellMar>
        </w:tblPrEx>
        <w:trPr>
          <w:trHeight w:val="2788"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行政处罚</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有效期至处罚信息被依法停止公示</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受到市、区住房城乡建设部门作出的与建设工程消防有关的行政处罚。</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1、受到行政处罚，按《广东省住房和城乡建设系统行政处罚自由裁量权基准》，裁量档次属于从轻的</w:t>
            </w:r>
            <w:r>
              <w:rPr>
                <w:rFonts w:ascii="CESI仿宋-GB2312" w:hAnsi="CESI仿宋-GB2312" w:eastAsia="CESI仿宋-GB2312" w:cs="CESI仿宋-GB2312"/>
                <w:color w:val="000000"/>
                <w:kern w:val="0"/>
                <w:sz w:val="18"/>
                <w:szCs w:val="18"/>
                <w:lang w:bidi="ar"/>
              </w:rPr>
              <w:t>，每次扣5分；</w:t>
            </w:r>
          </w:p>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2、</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w:t>
            </w:r>
            <w:r>
              <w:rPr>
                <w:rFonts w:ascii="CESI仿宋-GB2312" w:hAnsi="CESI仿宋-GB2312" w:eastAsia="CESI仿宋-GB2312" w:cs="CESI仿宋-GB2312"/>
                <w:color w:val="000000"/>
                <w:kern w:val="0"/>
                <w:sz w:val="18"/>
                <w:szCs w:val="18"/>
                <w:lang w:bidi="ar"/>
              </w:rPr>
              <w:t>一般的，每次扣10分；</w:t>
            </w:r>
          </w:p>
          <w:p>
            <w:pPr>
              <w:widowControl/>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3、</w:t>
            </w:r>
            <w:r>
              <w:rPr>
                <w:rFonts w:hint="eastAsia" w:ascii="CESI仿宋-GB2312" w:hAnsi="CESI仿宋-GB2312" w:eastAsia="CESI仿宋-GB2312" w:cs="CESI仿宋-GB2312"/>
                <w:color w:val="000000"/>
                <w:kern w:val="0"/>
                <w:sz w:val="18"/>
                <w:szCs w:val="18"/>
                <w:lang w:bidi="ar"/>
              </w:rPr>
              <w:t>受到行政处罚，按《广东省住房和城乡建设系统行政处罚自由裁量权基准》，裁量档次属于从重</w:t>
            </w:r>
            <w:r>
              <w:rPr>
                <w:rFonts w:ascii="CESI仿宋-GB2312" w:hAnsi="CESI仿宋-GB2312" w:eastAsia="CESI仿宋-GB2312" w:cs="CESI仿宋-GB2312"/>
                <w:color w:val="000000"/>
                <w:kern w:val="0"/>
                <w:sz w:val="18"/>
                <w:szCs w:val="18"/>
                <w:lang w:bidi="ar"/>
              </w:rPr>
              <w:t>的，每次扣20分。</w:t>
            </w:r>
          </w:p>
        </w:tc>
      </w:tr>
      <w:tr>
        <w:tblPrEx>
          <w:tblCellMar>
            <w:top w:w="0" w:type="dxa"/>
            <w:left w:w="108" w:type="dxa"/>
            <w:bottom w:w="0" w:type="dxa"/>
            <w:right w:w="108" w:type="dxa"/>
          </w:tblCellMar>
        </w:tblPrEx>
        <w:trPr>
          <w:trHeight w:val="270" w:hRule="atLeast"/>
        </w:trPr>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CESI仿宋-GB2312" w:hAnsi="CESI仿宋-GB2312" w:eastAsia="CESI仿宋-GB2312" w:cs="CESI仿宋-GB2312"/>
                <w:color w:val="000000"/>
                <w:sz w:val="18"/>
                <w:szCs w:val="18"/>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CESI仿宋-GB2312" w:hAnsi="CESI仿宋-GB2312" w:eastAsia="CESI仿宋-GB2312" w:cs="CESI仿宋-GB2312"/>
                <w:color w:val="000000"/>
                <w:sz w:val="18"/>
                <w:szCs w:val="18"/>
              </w:rPr>
            </w:pPr>
            <w:r>
              <w:rPr>
                <w:rFonts w:ascii="CESI仿宋-GB2312" w:hAnsi="CESI仿宋-GB2312" w:eastAsia="CESI仿宋-GB2312" w:cs="CESI仿宋-GB2312"/>
                <w:color w:val="000000"/>
                <w:kern w:val="0"/>
                <w:sz w:val="18"/>
                <w:szCs w:val="18"/>
                <w:lang w:bidi="ar"/>
              </w:rPr>
              <w:t>不规范行为</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有效期至不规范行</w:t>
            </w:r>
          </w:p>
          <w:p>
            <w:pPr>
              <w:jc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为已确认整改（不改正</w:t>
            </w:r>
            <w:r>
              <w:rPr>
                <w:rFonts w:ascii="CESI仿宋-GB2312" w:hAnsi="CESI仿宋-GB2312" w:eastAsia="CESI仿宋-GB2312" w:cs="CESI仿宋-GB2312"/>
                <w:color w:val="000000"/>
                <w:kern w:val="0"/>
                <w:sz w:val="18"/>
                <w:szCs w:val="18"/>
                <w:lang w:bidi="ar"/>
              </w:rPr>
              <w:t>的，</w:t>
            </w:r>
            <w:r>
              <w:rPr>
                <w:rFonts w:hint="eastAsia" w:ascii="CESI仿宋-GB2312" w:hAnsi="CESI仿宋-GB2312" w:eastAsia="CESI仿宋-GB2312" w:cs="CESI仿宋-GB2312"/>
                <w:color w:val="000000"/>
                <w:kern w:val="0"/>
                <w:sz w:val="18"/>
                <w:szCs w:val="18"/>
                <w:lang w:bidi="ar"/>
              </w:rPr>
              <w:t>12个月后</w:t>
            </w:r>
            <w:r>
              <w:rPr>
                <w:rFonts w:ascii="CESI仿宋-GB2312" w:hAnsi="CESI仿宋-GB2312" w:eastAsia="CESI仿宋-GB2312" w:cs="CESI仿宋-GB2312"/>
                <w:color w:val="000000"/>
                <w:kern w:val="0"/>
                <w:sz w:val="18"/>
                <w:szCs w:val="18"/>
                <w:lang w:bidi="ar"/>
              </w:rPr>
              <w:t>清零</w:t>
            </w:r>
            <w:r>
              <w:rPr>
                <w:rFonts w:hint="eastAsia" w:ascii="CESI仿宋-GB2312" w:hAnsi="CESI仿宋-GB2312" w:eastAsia="CESI仿宋-GB2312" w:cs="CESI仿宋-GB2312"/>
                <w:color w:val="000000"/>
                <w:kern w:val="0"/>
                <w:sz w:val="18"/>
                <w:szCs w:val="18"/>
                <w:lang w:bidi="ar"/>
              </w:rPr>
              <w:t>）</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存在以下情形但未达到行政处罚立案条件的：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1.未使用符合相关行业管理规定条件的检测人员的。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2.出具不准确的检测数据和检测报告的。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3.未建立项目工程质量检测档案的</w:t>
            </w:r>
          </w:p>
          <w:p>
            <w:pPr>
              <w:widowControl/>
              <w:textAlignment w:val="center"/>
              <w:rPr>
                <w:rFonts w:hint="eastAsia" w:ascii="CESI仿宋-GB2312" w:hAnsi="CESI仿宋-GB2312" w:eastAsia="CESI仿宋-GB2312" w:cs="CESI仿宋-GB2312"/>
                <w:color w:val="000000"/>
                <w:kern w:val="0"/>
                <w:sz w:val="18"/>
                <w:szCs w:val="18"/>
                <w:lang w:bidi="ar"/>
              </w:rPr>
            </w:pPr>
            <w:r>
              <w:rPr>
                <w:rFonts w:hint="eastAsia" w:ascii="CESI仿宋-GB2312" w:hAnsi="CESI仿宋-GB2312" w:eastAsia="CESI仿宋-GB2312" w:cs="CESI仿宋-GB2312"/>
                <w:color w:val="000000"/>
                <w:kern w:val="0"/>
                <w:sz w:val="18"/>
                <w:szCs w:val="18"/>
                <w:lang w:bidi="ar"/>
              </w:rPr>
              <w:t>4.检测合同、检测原始记录、检测报告未连续编号，存在抽撤或涂改情况的。</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5.其他违反相关规范、标准、规定行为。</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CESI仿宋-GB2312" w:hAnsi="CESI仿宋-GB2312" w:eastAsia="CESI仿宋-GB2312" w:cs="CESI仿宋-GB2312"/>
                <w:color w:val="000000"/>
                <w:kern w:val="0"/>
                <w:sz w:val="18"/>
                <w:szCs w:val="18"/>
                <w:lang w:bidi="ar"/>
              </w:rPr>
            </w:pPr>
            <w:r>
              <w:rPr>
                <w:rFonts w:ascii="CESI仿宋-GB2312" w:hAnsi="CESI仿宋-GB2312" w:eastAsia="CESI仿宋-GB2312" w:cs="CESI仿宋-GB2312"/>
                <w:color w:val="000000"/>
                <w:kern w:val="0"/>
                <w:sz w:val="18"/>
                <w:szCs w:val="18"/>
                <w:lang w:bidi="ar"/>
              </w:rPr>
              <w:t>1、因不规范行为依法被市、区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正式约谈，且未因相关行为被扣分的，每次扣</w:t>
            </w:r>
            <w:r>
              <w:rPr>
                <w:rFonts w:hint="eastAsia" w:ascii="CESI仿宋-GB2312" w:hAnsi="CESI仿宋-GB2312" w:eastAsia="CESI仿宋-GB2312" w:cs="CESI仿宋-GB2312"/>
                <w:color w:val="000000"/>
                <w:kern w:val="0"/>
                <w:sz w:val="18"/>
                <w:szCs w:val="18"/>
                <w:lang w:bidi="ar"/>
              </w:rPr>
              <w:t>3</w:t>
            </w:r>
            <w:r>
              <w:rPr>
                <w:rFonts w:ascii="CESI仿宋-GB2312" w:hAnsi="CESI仿宋-GB2312" w:eastAsia="CESI仿宋-GB2312" w:cs="CESI仿宋-GB2312"/>
                <w:color w:val="000000"/>
                <w:kern w:val="0"/>
                <w:sz w:val="18"/>
                <w:szCs w:val="18"/>
                <w:lang w:bidi="ar"/>
              </w:rPr>
              <w:t>分；</w:t>
            </w:r>
          </w:p>
          <w:p>
            <w:pPr>
              <w:widowControl/>
              <w:textAlignment w:val="center"/>
              <w:rPr>
                <w:rFonts w:ascii="CESI仿宋-GB2312" w:hAnsi="CESI仿宋-GB2312" w:eastAsia="CESI仿宋-GB2312" w:cs="CESI仿宋-GB2312"/>
                <w:color w:val="000000"/>
                <w:sz w:val="18"/>
                <w:szCs w:val="18"/>
              </w:rPr>
            </w:pP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、因不规范行为依法被市、区</w:t>
            </w:r>
            <w:r>
              <w:rPr>
                <w:rFonts w:hint="eastAsia" w:ascii="CESI仿宋-GB2312" w:hAnsi="CESI仿宋-GB2312" w:eastAsia="CESI仿宋-GB2312" w:cs="CESI仿宋-GB2312"/>
                <w:color w:val="000000"/>
                <w:kern w:val="0"/>
                <w:sz w:val="18"/>
                <w:szCs w:val="18"/>
                <w:lang w:bidi="ar"/>
              </w:rPr>
              <w:t>住建</w:t>
            </w:r>
            <w:r>
              <w:rPr>
                <w:rFonts w:ascii="CESI仿宋-GB2312" w:hAnsi="CESI仿宋-GB2312" w:eastAsia="CESI仿宋-GB2312" w:cs="CESI仿宋-GB2312"/>
                <w:color w:val="000000"/>
                <w:kern w:val="0"/>
                <w:sz w:val="18"/>
                <w:szCs w:val="18"/>
                <w:lang w:bidi="ar"/>
              </w:rPr>
              <w:t>部门</w:t>
            </w:r>
            <w:r>
              <w:rPr>
                <w:rFonts w:hint="eastAsia" w:ascii="CESI仿宋-GB2312" w:hAnsi="CESI仿宋-GB2312" w:eastAsia="CESI仿宋-GB2312" w:cs="CESI仿宋-GB2312"/>
                <w:color w:val="000000"/>
                <w:kern w:val="0"/>
                <w:sz w:val="18"/>
                <w:szCs w:val="18"/>
                <w:lang w:bidi="ar"/>
              </w:rPr>
              <w:t>或镇街</w:t>
            </w:r>
            <w:r>
              <w:rPr>
                <w:rFonts w:ascii="CESI仿宋-GB2312" w:hAnsi="CESI仿宋-GB2312" w:eastAsia="CESI仿宋-GB2312" w:cs="CESI仿宋-GB2312"/>
                <w:color w:val="000000"/>
                <w:kern w:val="0"/>
                <w:sz w:val="18"/>
                <w:szCs w:val="18"/>
                <w:lang w:bidi="ar"/>
              </w:rPr>
              <w:t>出具整改通知书</w:t>
            </w:r>
            <w:r>
              <w:rPr>
                <w:rFonts w:hint="eastAsia" w:ascii="CESI仿宋-GB2312" w:hAnsi="CESI仿宋-GB2312" w:eastAsia="CESI仿宋-GB2312" w:cs="CESI仿宋-GB2312"/>
                <w:color w:val="000000"/>
                <w:kern w:val="0"/>
                <w:sz w:val="18"/>
                <w:szCs w:val="18"/>
                <w:lang w:bidi="ar"/>
              </w:rPr>
              <w:t>，且未因相关行为被扣分</w:t>
            </w:r>
            <w:r>
              <w:rPr>
                <w:rFonts w:ascii="CESI仿宋-GB2312" w:hAnsi="CESI仿宋-GB2312" w:eastAsia="CESI仿宋-GB2312" w:cs="CESI仿宋-GB2312"/>
                <w:color w:val="000000"/>
                <w:kern w:val="0"/>
                <w:sz w:val="18"/>
                <w:szCs w:val="18"/>
                <w:lang w:bidi="ar"/>
              </w:rPr>
              <w:t>的，每次扣</w:t>
            </w:r>
            <w:r>
              <w:rPr>
                <w:rFonts w:hint="eastAsia" w:ascii="CESI仿宋-GB2312" w:hAnsi="CESI仿宋-GB2312" w:eastAsia="CESI仿宋-GB2312" w:cs="CESI仿宋-GB2312"/>
                <w:color w:val="000000"/>
                <w:kern w:val="0"/>
                <w:sz w:val="18"/>
                <w:szCs w:val="18"/>
                <w:lang w:bidi="ar"/>
              </w:rPr>
              <w:t>2</w:t>
            </w:r>
            <w:r>
              <w:rPr>
                <w:rFonts w:ascii="CESI仿宋-GB2312" w:hAnsi="CESI仿宋-GB2312" w:eastAsia="CESI仿宋-GB2312" w:cs="CESI仿宋-GB2312"/>
                <w:color w:val="000000"/>
                <w:kern w:val="0"/>
                <w:sz w:val="18"/>
                <w:szCs w:val="18"/>
                <w:lang w:bidi="ar"/>
              </w:rPr>
              <w:t>分；</w:t>
            </w:r>
          </w:p>
        </w:tc>
      </w:tr>
    </w:tbl>
    <w:p>
      <w:pPr>
        <w:pStyle w:val="2"/>
      </w:pPr>
    </w:p>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C27C7C"/>
    <w:rsid w:val="2AE20A7F"/>
    <w:rsid w:val="BBC27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widowControl w:val="0"/>
      <w:spacing w:before="260" w:after="260" w:line="416" w:lineRule="auto"/>
      <w:jc w:val="both"/>
      <w:outlineLvl w:val="1"/>
    </w:pPr>
    <w:rPr>
      <w:rFonts w:ascii="等线 Light" w:hAnsi="等线 Light" w:eastAsia="等线 Light"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customStyle="1" w:styleId="5">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2024-04-10T09:59:00Z</dcterms:created>
  <dc:creator>ht-706</dc:creator>
  <cp:lastModifiedBy>都说这头像招财</cp:lastModifiedBy>
  <dcterms:modified xsi:type="dcterms:W3CDTF">2024-04-19T07:18:11Z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476EAC15E54B46398408103853FCC4FB_13</vt:lpwstr>
  </property>
</Properties>
</file>