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0"/>
        <w:jc w:val="center"/>
        <w:rPr>
          <w:rFonts w:ascii="方正小标宋_GBK" w:eastAsia="方正小标宋_GBK"/>
          <w:sz w:val="44"/>
          <w:szCs w:val="44"/>
        </w:rPr>
      </w:pPr>
      <w:bookmarkStart w:id="0" w:name="_GoBack"/>
      <w:bookmarkEnd w:id="0"/>
      <w:r>
        <w:rPr>
          <w:rFonts w:hint="eastAsia" w:ascii="方正小标宋_GBK" w:eastAsia="方正小标宋_GBK"/>
          <w:sz w:val="44"/>
          <w:szCs w:val="44"/>
          <w:lang w:bidi="ar"/>
        </w:rPr>
        <w:t>江苏省城市轨道交通工程消防验收实施办法</w:t>
      </w:r>
    </w:p>
    <w:p>
      <w:pPr>
        <w:spacing w:line="570" w:lineRule="exact"/>
        <w:rPr>
          <w:szCs w:val="32"/>
        </w:rPr>
      </w:pPr>
      <w:r>
        <w:rPr>
          <w:szCs w:val="32"/>
          <w:lang w:bidi="ar"/>
        </w:rPr>
        <w:t xml:space="preserve"> </w:t>
      </w:r>
    </w:p>
    <w:p>
      <w:pPr>
        <w:widowControl/>
        <w:spacing w:line="570" w:lineRule="exact"/>
        <w:ind w:firstLine="632" w:firstLineChars="200"/>
        <w:rPr>
          <w:szCs w:val="32"/>
        </w:rPr>
      </w:pPr>
      <w:r>
        <w:rPr>
          <w:rFonts w:hint="eastAsia" w:eastAsia="方正黑体_GBK"/>
          <w:szCs w:val="32"/>
          <w:lang w:bidi="ar"/>
        </w:rPr>
        <w:t>第一条</w:t>
      </w:r>
      <w:r>
        <w:rPr>
          <w:rFonts w:hint="eastAsia" w:ascii="宋体" w:hAnsi="宋体" w:eastAsia="宋体" w:cs="宋体"/>
          <w:kern w:val="2"/>
          <w:szCs w:val="32"/>
          <w:lang w:bidi="ar"/>
        </w:rPr>
        <w:t xml:space="preserve"> </w:t>
      </w:r>
      <w:r>
        <w:rPr>
          <w:rFonts w:hint="eastAsia"/>
          <w:szCs w:val="32"/>
          <w:lang w:bidi="ar"/>
        </w:rPr>
        <w:t>为进一步加强全省城市轨道交通工程消防验收工作，规范消防验收行为，依据《中华人民共和国建筑法》《中华人民共和国消防法》《建设工程质量管理条例》《江苏省消防条例》《建设工程消防设计审查验收管理暂行规定》以及《城市轨道交通建设工程验收管理暂行办法》等规定，结合本省实际，制定本实施办法。</w:t>
      </w:r>
    </w:p>
    <w:p>
      <w:pPr>
        <w:widowControl/>
        <w:spacing w:line="570" w:lineRule="exact"/>
        <w:ind w:firstLine="632" w:firstLineChars="200"/>
        <w:rPr>
          <w:szCs w:val="32"/>
        </w:rPr>
      </w:pPr>
      <w:r>
        <w:rPr>
          <w:rFonts w:hint="eastAsia" w:eastAsia="方正黑体_GBK"/>
          <w:szCs w:val="32"/>
          <w:lang w:bidi="ar"/>
        </w:rPr>
        <w:t>第二条</w:t>
      </w:r>
      <w:r>
        <w:rPr>
          <w:rFonts w:hint="eastAsia" w:ascii="宋体" w:hAnsi="宋体" w:eastAsia="宋体" w:cs="宋体"/>
          <w:kern w:val="2"/>
          <w:szCs w:val="32"/>
          <w:lang w:bidi="ar"/>
        </w:rPr>
        <w:t xml:space="preserve"> </w:t>
      </w:r>
      <w:r>
        <w:rPr>
          <w:rFonts w:hint="eastAsia"/>
          <w:szCs w:val="32"/>
          <w:lang w:bidi="ar"/>
        </w:rPr>
        <w:t>本办法所称的城市轨道交通是指采用专用轨道导向运行的城市公共客运交通系统，包括地铁、轻轨、单轨、有轨电车、磁浮、自动导向轨道、市域快速轨道等系统。</w:t>
      </w:r>
    </w:p>
    <w:p>
      <w:pPr>
        <w:widowControl/>
        <w:spacing w:line="570" w:lineRule="exact"/>
        <w:ind w:firstLine="632" w:firstLineChars="200"/>
        <w:rPr>
          <w:szCs w:val="32"/>
        </w:rPr>
      </w:pPr>
      <w:r>
        <w:rPr>
          <w:rFonts w:hint="eastAsia" w:eastAsia="方正黑体_GBK"/>
          <w:szCs w:val="32"/>
          <w:lang w:bidi="ar"/>
        </w:rPr>
        <w:t>第三条</w:t>
      </w:r>
      <w:r>
        <w:rPr>
          <w:rFonts w:hint="eastAsia" w:ascii="宋体" w:hAnsi="宋体" w:eastAsia="宋体" w:cs="宋体"/>
          <w:kern w:val="2"/>
          <w:szCs w:val="32"/>
          <w:lang w:bidi="ar"/>
        </w:rPr>
        <w:t xml:space="preserve"> </w:t>
      </w:r>
      <w:r>
        <w:rPr>
          <w:rFonts w:hint="eastAsia"/>
          <w:szCs w:val="32"/>
          <w:lang w:bidi="ar"/>
        </w:rPr>
        <w:t>本办法适用于本省行政区域内新建、改建、扩建城市轨道交通工程的消防验收，包括车站、区间、车辆基地、控制中心和主变电所等承担城市轨道交通主要运行功能的建设工程。</w:t>
      </w:r>
    </w:p>
    <w:p>
      <w:pPr>
        <w:widowControl/>
        <w:spacing w:line="570" w:lineRule="exact"/>
        <w:ind w:firstLine="632" w:firstLineChars="200"/>
        <w:rPr>
          <w:szCs w:val="32"/>
        </w:rPr>
      </w:pPr>
      <w:r>
        <w:rPr>
          <w:rFonts w:hint="eastAsia" w:eastAsia="方正黑体_GBK"/>
          <w:szCs w:val="32"/>
          <w:lang w:bidi="ar"/>
        </w:rPr>
        <w:t>第四条</w:t>
      </w:r>
      <w:r>
        <w:rPr>
          <w:rFonts w:hint="eastAsia" w:ascii="宋体" w:hAnsi="宋体" w:eastAsia="宋体" w:cs="宋体"/>
          <w:kern w:val="2"/>
          <w:szCs w:val="32"/>
          <w:lang w:bidi="ar"/>
        </w:rPr>
        <w:t xml:space="preserve"> </w:t>
      </w:r>
      <w:r>
        <w:rPr>
          <w:rFonts w:hint="eastAsia"/>
          <w:szCs w:val="32"/>
          <w:lang w:bidi="ar"/>
        </w:rPr>
        <w:t>县级以上住房和城乡建设主管部门负责本行政区域内的城市轨道交通工程消防验收工作。</w:t>
      </w:r>
    </w:p>
    <w:p>
      <w:pPr>
        <w:widowControl/>
        <w:spacing w:line="570" w:lineRule="exact"/>
        <w:ind w:firstLine="632" w:firstLineChars="200"/>
        <w:rPr>
          <w:szCs w:val="32"/>
        </w:rPr>
      </w:pPr>
      <w:r>
        <w:rPr>
          <w:rFonts w:hint="eastAsia"/>
          <w:szCs w:val="32"/>
          <w:lang w:bidi="ar"/>
        </w:rPr>
        <w:t>跨行政区域的城市轨道交通工程的消防验收，由该建设工程所在行政区域住房和城乡建设主管部门共同的上一级主管部门指定负责。</w:t>
      </w:r>
    </w:p>
    <w:p>
      <w:pPr>
        <w:widowControl/>
        <w:spacing w:line="570" w:lineRule="exact"/>
        <w:ind w:firstLine="632" w:firstLineChars="200"/>
        <w:rPr>
          <w:szCs w:val="32"/>
        </w:rPr>
      </w:pPr>
      <w:r>
        <w:rPr>
          <w:rFonts w:hint="eastAsia" w:eastAsia="方正黑体_GBK"/>
          <w:szCs w:val="32"/>
          <w:lang w:bidi="ar"/>
        </w:rPr>
        <w:t>第五条</w:t>
      </w:r>
      <w:r>
        <w:rPr>
          <w:rFonts w:hint="eastAsia" w:ascii="宋体" w:hAnsi="宋体" w:eastAsia="宋体" w:cs="宋体"/>
          <w:kern w:val="2"/>
          <w:szCs w:val="32"/>
          <w:lang w:bidi="ar"/>
        </w:rPr>
        <w:t xml:space="preserve"> </w:t>
      </w:r>
      <w:r>
        <w:rPr>
          <w:rFonts w:hint="eastAsia"/>
          <w:szCs w:val="32"/>
          <w:lang w:bidi="ar"/>
        </w:rPr>
        <w:t>建设单位组织项目工程验收时，应当对城市轨道交通工程是否符合下列要求组织开展消防查验：</w:t>
      </w:r>
    </w:p>
    <w:p>
      <w:pPr>
        <w:widowControl/>
        <w:spacing w:line="570" w:lineRule="exact"/>
        <w:ind w:firstLine="632" w:firstLineChars="200"/>
        <w:rPr>
          <w:szCs w:val="32"/>
        </w:rPr>
      </w:pPr>
      <w:r>
        <w:rPr>
          <w:rFonts w:hint="eastAsia"/>
          <w:szCs w:val="32"/>
          <w:lang w:bidi="ar"/>
        </w:rPr>
        <w:t>（一）完成工程消防设计和合同约定的消防各项内容；</w:t>
      </w:r>
    </w:p>
    <w:p>
      <w:pPr>
        <w:widowControl/>
        <w:spacing w:line="570" w:lineRule="exact"/>
        <w:ind w:firstLine="632" w:firstLineChars="200"/>
        <w:rPr>
          <w:szCs w:val="32"/>
        </w:rPr>
      </w:pPr>
      <w:r>
        <w:rPr>
          <w:rFonts w:hint="eastAsia"/>
          <w:szCs w:val="32"/>
          <w:lang w:bidi="ar"/>
        </w:rPr>
        <w:t>（二）有完整的工程消防技术档案和施工管理资料（含涉及消防的建筑材料、建筑构配件和设备的进场试验报告）；</w:t>
      </w:r>
    </w:p>
    <w:p>
      <w:pPr>
        <w:widowControl/>
        <w:spacing w:line="570" w:lineRule="exact"/>
        <w:ind w:firstLine="632" w:firstLineChars="200"/>
        <w:rPr>
          <w:szCs w:val="32"/>
        </w:rPr>
      </w:pPr>
      <w:r>
        <w:rPr>
          <w:rFonts w:hint="eastAsia"/>
          <w:szCs w:val="32"/>
          <w:lang w:bidi="ar"/>
        </w:rPr>
        <w:t>（三）对工程涉及消防的各分部分项工程验收合格；设计、施工、工程监理、技术服务等单位确认工程消防质量符合有关标准；</w:t>
      </w:r>
    </w:p>
    <w:p>
      <w:pPr>
        <w:widowControl/>
        <w:spacing w:line="570" w:lineRule="exact"/>
        <w:ind w:firstLine="632" w:firstLineChars="200"/>
        <w:rPr>
          <w:szCs w:val="32"/>
        </w:rPr>
      </w:pPr>
      <w:r>
        <w:rPr>
          <w:rFonts w:hint="eastAsia"/>
          <w:szCs w:val="32"/>
          <w:lang w:bidi="ar"/>
        </w:rPr>
        <w:t>（四）消防设施性能、系统功能联调联试等内容检测合格。</w:t>
      </w:r>
    </w:p>
    <w:p>
      <w:pPr>
        <w:widowControl/>
        <w:spacing w:line="570" w:lineRule="exact"/>
        <w:ind w:firstLine="632" w:firstLineChars="200"/>
        <w:rPr>
          <w:szCs w:val="32"/>
        </w:rPr>
      </w:pPr>
      <w:r>
        <w:rPr>
          <w:rFonts w:hint="eastAsia"/>
          <w:szCs w:val="32"/>
          <w:lang w:bidi="ar"/>
        </w:rPr>
        <w:t>消防查验合格后，应当编制消防查验情况报告。</w:t>
      </w:r>
    </w:p>
    <w:p>
      <w:pPr>
        <w:widowControl/>
        <w:spacing w:line="570" w:lineRule="exact"/>
        <w:ind w:firstLine="632" w:firstLineChars="200"/>
        <w:rPr>
          <w:szCs w:val="32"/>
        </w:rPr>
      </w:pPr>
      <w:r>
        <w:rPr>
          <w:rFonts w:hint="eastAsia" w:eastAsia="方正黑体_GBK"/>
          <w:szCs w:val="32"/>
          <w:lang w:bidi="ar"/>
        </w:rPr>
        <w:t>第六条</w:t>
      </w:r>
      <w:r>
        <w:rPr>
          <w:rFonts w:hint="eastAsia" w:ascii="宋体" w:hAnsi="宋体" w:eastAsia="宋体" w:cs="宋体"/>
          <w:kern w:val="2"/>
          <w:szCs w:val="32"/>
          <w:lang w:bidi="ar"/>
        </w:rPr>
        <w:t xml:space="preserve"> </w:t>
      </w:r>
      <w:r>
        <w:rPr>
          <w:rFonts w:hint="eastAsia"/>
          <w:szCs w:val="32"/>
          <w:lang w:bidi="ar"/>
        </w:rPr>
        <w:t>建设单位在项目工程验收合格后，方可申请消防验收，并提交下列材料：</w:t>
      </w:r>
    </w:p>
    <w:p>
      <w:pPr>
        <w:pStyle w:val="25"/>
        <w:widowControl/>
        <w:spacing w:line="570" w:lineRule="exact"/>
        <w:ind w:firstLine="630"/>
        <w:rPr>
          <w:rFonts w:ascii="Times New Roman" w:eastAsia="方正仿宋_GBK"/>
          <w:kern w:val="0"/>
          <w:sz w:val="32"/>
          <w:szCs w:val="32"/>
        </w:rPr>
      </w:pPr>
      <w:r>
        <w:rPr>
          <w:rFonts w:hint="eastAsia" w:ascii="Times New Roman" w:eastAsia="方正仿宋_GBK"/>
          <w:kern w:val="0"/>
          <w:sz w:val="32"/>
          <w:szCs w:val="32"/>
        </w:rPr>
        <w:t>（一）消防验收申请表；</w:t>
      </w:r>
    </w:p>
    <w:p>
      <w:pPr>
        <w:pStyle w:val="25"/>
        <w:widowControl/>
        <w:spacing w:line="570" w:lineRule="exact"/>
        <w:ind w:firstLine="630"/>
        <w:rPr>
          <w:rFonts w:ascii="Times New Roman" w:eastAsia="方正仿宋_GBK"/>
          <w:kern w:val="0"/>
          <w:sz w:val="32"/>
          <w:szCs w:val="32"/>
        </w:rPr>
      </w:pPr>
      <w:r>
        <w:rPr>
          <w:rFonts w:hint="eastAsia" w:ascii="Times New Roman" w:eastAsia="方正仿宋_GBK"/>
          <w:kern w:val="0"/>
          <w:sz w:val="32"/>
          <w:szCs w:val="32"/>
        </w:rPr>
        <w:t>（二）消防查验情况报告；</w:t>
      </w:r>
    </w:p>
    <w:p>
      <w:pPr>
        <w:pStyle w:val="25"/>
        <w:widowControl/>
        <w:spacing w:line="570" w:lineRule="exact"/>
        <w:ind w:firstLine="630"/>
        <w:rPr>
          <w:rFonts w:ascii="Times New Roman" w:eastAsia="方正仿宋_GBK"/>
          <w:kern w:val="0"/>
          <w:sz w:val="32"/>
          <w:szCs w:val="32"/>
        </w:rPr>
      </w:pPr>
      <w:r>
        <w:rPr>
          <w:rFonts w:hint="eastAsia" w:ascii="Times New Roman" w:eastAsia="方正仿宋_GBK"/>
          <w:kern w:val="0"/>
          <w:sz w:val="32"/>
          <w:szCs w:val="32"/>
        </w:rPr>
        <w:t>（三）涉及消防的建设工程竣工图纸。</w:t>
      </w:r>
    </w:p>
    <w:p>
      <w:pPr>
        <w:widowControl/>
        <w:spacing w:line="570" w:lineRule="exact"/>
        <w:ind w:firstLine="632" w:firstLineChars="200"/>
        <w:rPr>
          <w:szCs w:val="32"/>
        </w:rPr>
      </w:pPr>
      <w:r>
        <w:rPr>
          <w:rFonts w:hint="eastAsia"/>
          <w:szCs w:val="32"/>
          <w:lang w:bidi="ar"/>
        </w:rPr>
        <w:t>住房和城乡建设主管部门应当自收到消防验收申请材料之日起五个工作日内决定是否受理。</w:t>
      </w:r>
    </w:p>
    <w:p>
      <w:pPr>
        <w:widowControl/>
        <w:spacing w:line="570" w:lineRule="exact"/>
        <w:ind w:firstLine="632" w:firstLineChars="200"/>
        <w:rPr>
          <w:szCs w:val="32"/>
        </w:rPr>
      </w:pPr>
      <w:r>
        <w:rPr>
          <w:rFonts w:hint="eastAsia" w:ascii="方正黑体_GBK" w:hAnsi="方正黑体_GBK" w:eastAsia="方正黑体_GBK" w:cs="方正黑体_GBK"/>
          <w:szCs w:val="32"/>
          <w:lang w:bidi="ar"/>
        </w:rPr>
        <w:t>第七条</w:t>
      </w:r>
      <w:r>
        <w:rPr>
          <w:rFonts w:hint="eastAsia" w:ascii="宋体" w:hAnsi="宋体" w:eastAsia="宋体" w:cs="宋体"/>
          <w:kern w:val="2"/>
          <w:szCs w:val="32"/>
          <w:lang w:bidi="ar"/>
        </w:rPr>
        <w:t xml:space="preserve"> </w:t>
      </w:r>
      <w:r>
        <w:rPr>
          <w:rFonts w:hint="eastAsia"/>
          <w:szCs w:val="32"/>
          <w:lang w:bidi="ar"/>
        </w:rPr>
        <w:t>在符合项目整体质量安全要求、达到安全使用条件的前提下，建设单位可以根据需要，组织车站、区间、车辆基地、控制中心、主变电所等单位工程单独或组团申请消防验收。</w:t>
      </w:r>
    </w:p>
    <w:p>
      <w:pPr>
        <w:widowControl/>
        <w:spacing w:line="570" w:lineRule="exact"/>
        <w:ind w:firstLine="632" w:firstLineChars="200"/>
        <w:rPr>
          <w:rFonts w:eastAsia="方正黑体_GBK"/>
          <w:szCs w:val="32"/>
        </w:rPr>
      </w:pPr>
      <w:r>
        <w:rPr>
          <w:rFonts w:hint="eastAsia" w:eastAsia="方正黑体_GBK"/>
          <w:szCs w:val="32"/>
          <w:lang w:bidi="ar"/>
        </w:rPr>
        <w:t>第八条</w:t>
      </w:r>
      <w:r>
        <w:rPr>
          <w:rFonts w:hint="eastAsia" w:ascii="宋体" w:hAnsi="宋体" w:eastAsia="宋体" w:cs="宋体"/>
          <w:kern w:val="2"/>
          <w:szCs w:val="32"/>
          <w:lang w:bidi="ar"/>
        </w:rPr>
        <w:t xml:space="preserve"> </w:t>
      </w:r>
      <w:r>
        <w:rPr>
          <w:rFonts w:hint="eastAsia"/>
          <w:szCs w:val="32"/>
          <w:lang w:bidi="ar"/>
        </w:rPr>
        <w:t>建设单位可以委托具备相应能力的消防审验技术服务机构开展消防查验工作。</w:t>
      </w:r>
    </w:p>
    <w:p>
      <w:pPr>
        <w:widowControl/>
        <w:spacing w:line="570" w:lineRule="exact"/>
        <w:ind w:firstLine="632" w:firstLineChars="200"/>
        <w:rPr>
          <w:szCs w:val="32"/>
        </w:rPr>
      </w:pPr>
      <w:r>
        <w:rPr>
          <w:rFonts w:hint="eastAsia" w:eastAsia="方正黑体_GBK"/>
          <w:szCs w:val="32"/>
          <w:lang w:bidi="ar"/>
        </w:rPr>
        <w:t>第九条</w:t>
      </w:r>
      <w:r>
        <w:rPr>
          <w:rFonts w:hint="eastAsia" w:ascii="宋体" w:hAnsi="宋体" w:eastAsia="宋体" w:cs="宋体"/>
          <w:kern w:val="2"/>
          <w:szCs w:val="32"/>
          <w:lang w:bidi="ar"/>
        </w:rPr>
        <w:t xml:space="preserve"> </w:t>
      </w:r>
      <w:r>
        <w:rPr>
          <w:rFonts w:hint="eastAsia"/>
          <w:szCs w:val="32"/>
          <w:lang w:bidi="ar"/>
        </w:rPr>
        <w:t>住房和城乡建设主管部门可以委托具备相应能力的消防审验技术服务机构开展消防验收现场评定技术服务工作。</w:t>
      </w:r>
    </w:p>
    <w:p>
      <w:pPr>
        <w:widowControl/>
        <w:spacing w:line="570" w:lineRule="exact"/>
        <w:ind w:firstLine="632" w:firstLineChars="200"/>
        <w:rPr>
          <w:szCs w:val="32"/>
        </w:rPr>
      </w:pPr>
      <w:r>
        <w:rPr>
          <w:rFonts w:hint="eastAsia"/>
          <w:szCs w:val="32"/>
          <w:lang w:bidi="ar"/>
        </w:rPr>
        <w:t>住房和城乡建设主管部门委托的消防审验技术服务机构不得与申请消防验收的城市轨道交通工程参建各方存在利害关系。</w:t>
      </w:r>
    </w:p>
    <w:p>
      <w:pPr>
        <w:widowControl/>
        <w:spacing w:line="570" w:lineRule="exact"/>
        <w:ind w:firstLine="632" w:firstLineChars="200"/>
        <w:rPr>
          <w:szCs w:val="32"/>
        </w:rPr>
      </w:pPr>
      <w:r>
        <w:rPr>
          <w:rFonts w:hint="eastAsia" w:eastAsia="方正黑体_GBK"/>
          <w:szCs w:val="32"/>
          <w:lang w:bidi="ar"/>
        </w:rPr>
        <w:t>第十条</w:t>
      </w:r>
      <w:r>
        <w:rPr>
          <w:rFonts w:hint="eastAsia" w:ascii="宋体" w:hAnsi="宋体" w:eastAsia="宋体" w:cs="宋体"/>
          <w:kern w:val="2"/>
          <w:szCs w:val="32"/>
          <w:lang w:bidi="ar"/>
        </w:rPr>
        <w:t xml:space="preserve"> </w:t>
      </w:r>
      <w:r>
        <w:rPr>
          <w:rFonts w:hint="eastAsia"/>
          <w:szCs w:val="32"/>
          <w:lang w:bidi="ar"/>
        </w:rPr>
        <w:t>消防验收现场评定的主要内容包括：</w:t>
      </w:r>
    </w:p>
    <w:p>
      <w:pPr>
        <w:widowControl/>
        <w:spacing w:line="570" w:lineRule="exact"/>
        <w:ind w:firstLine="632" w:firstLineChars="200"/>
        <w:rPr>
          <w:szCs w:val="32"/>
        </w:rPr>
      </w:pPr>
      <w:r>
        <w:rPr>
          <w:rFonts w:hint="eastAsia"/>
          <w:szCs w:val="32"/>
          <w:lang w:bidi="ar"/>
        </w:rPr>
        <w:t>（一）对建（构）筑物防（灭）火设施等外观进行抽样查看；</w:t>
      </w:r>
    </w:p>
    <w:p>
      <w:pPr>
        <w:widowControl/>
        <w:spacing w:line="570" w:lineRule="exact"/>
        <w:ind w:firstLine="632" w:firstLineChars="200"/>
        <w:rPr>
          <w:szCs w:val="32"/>
        </w:rPr>
      </w:pPr>
      <w:r>
        <w:rPr>
          <w:rFonts w:hint="eastAsia"/>
          <w:szCs w:val="32"/>
          <w:lang w:bidi="ar"/>
        </w:rPr>
        <w:t>（二）通过专业仪器设备对涉及距离、高度、宽度、长度、面积、厚度等可测量的指标进行现场抽样测量；</w:t>
      </w:r>
    </w:p>
    <w:p>
      <w:pPr>
        <w:widowControl/>
        <w:spacing w:line="570" w:lineRule="exact"/>
        <w:ind w:firstLine="632" w:firstLineChars="200"/>
        <w:rPr>
          <w:szCs w:val="32"/>
        </w:rPr>
      </w:pPr>
      <w:r>
        <w:rPr>
          <w:rFonts w:hint="eastAsia"/>
          <w:szCs w:val="32"/>
          <w:lang w:bidi="ar"/>
        </w:rPr>
        <w:t>（三）对消防设施进行抽样测试，对系统功能进行联调联试。</w:t>
      </w:r>
    </w:p>
    <w:p>
      <w:pPr>
        <w:widowControl/>
        <w:spacing w:line="570" w:lineRule="exact"/>
        <w:ind w:firstLine="632" w:firstLineChars="200"/>
        <w:rPr>
          <w:rFonts w:eastAsia="宋体"/>
          <w:kern w:val="2"/>
          <w:szCs w:val="32"/>
        </w:rPr>
      </w:pPr>
      <w:r>
        <w:rPr>
          <w:rFonts w:hint="eastAsia"/>
          <w:szCs w:val="32"/>
          <w:lang w:bidi="ar"/>
        </w:rPr>
        <w:t>对控制中心进行现场评定时，还应当对拟投入运营部分的整体消防设施系统功能进行联调联试。</w:t>
      </w:r>
    </w:p>
    <w:p>
      <w:pPr>
        <w:widowControl/>
        <w:spacing w:line="570" w:lineRule="exact"/>
        <w:ind w:firstLine="632" w:firstLineChars="200"/>
        <w:rPr>
          <w:szCs w:val="32"/>
        </w:rPr>
      </w:pPr>
      <w:r>
        <w:rPr>
          <w:rFonts w:hint="eastAsia"/>
          <w:szCs w:val="32"/>
          <w:lang w:bidi="ar"/>
        </w:rPr>
        <w:t>车站与周边建筑合建通道、出入口的，车站和周边建筑的消防控制室应当实现信息互通。现场评定时应当测试火灾信息互通功能。</w:t>
      </w:r>
    </w:p>
    <w:p>
      <w:pPr>
        <w:widowControl/>
        <w:spacing w:line="570" w:lineRule="exact"/>
        <w:ind w:firstLine="632" w:firstLineChars="200"/>
        <w:rPr>
          <w:szCs w:val="32"/>
        </w:rPr>
      </w:pPr>
      <w:r>
        <w:rPr>
          <w:rFonts w:hint="eastAsia" w:eastAsia="方正黑体_GBK"/>
          <w:szCs w:val="32"/>
          <w:lang w:bidi="ar"/>
        </w:rPr>
        <w:t>第十一条</w:t>
      </w:r>
      <w:r>
        <w:rPr>
          <w:rFonts w:hint="eastAsia" w:ascii="宋体" w:hAnsi="宋体" w:eastAsia="宋体" w:cs="宋体"/>
          <w:kern w:val="2"/>
          <w:szCs w:val="32"/>
          <w:lang w:bidi="ar"/>
        </w:rPr>
        <w:t xml:space="preserve"> </w:t>
      </w:r>
      <w:r>
        <w:rPr>
          <w:rFonts w:hint="eastAsia"/>
          <w:szCs w:val="32"/>
          <w:lang w:bidi="ar"/>
        </w:rPr>
        <w:t>现场评定抽样查看、抽样测量、抽样测试和系统功能联调联试应符合下列要求：</w:t>
      </w:r>
    </w:p>
    <w:p>
      <w:pPr>
        <w:widowControl/>
        <w:spacing w:line="570" w:lineRule="exact"/>
        <w:ind w:firstLine="632" w:firstLineChars="200"/>
        <w:rPr>
          <w:szCs w:val="32"/>
        </w:rPr>
      </w:pPr>
      <w:r>
        <w:rPr>
          <w:rFonts w:hint="eastAsia"/>
          <w:szCs w:val="32"/>
          <w:lang w:bidi="ar"/>
        </w:rPr>
        <w:t>（一）现场评定具体项目应当包括《建设工程消防设计审查验收工作细则》相关内容；</w:t>
      </w:r>
    </w:p>
    <w:p>
      <w:pPr>
        <w:widowControl/>
        <w:spacing w:line="570" w:lineRule="exact"/>
        <w:ind w:firstLine="632" w:firstLineChars="200"/>
        <w:rPr>
          <w:szCs w:val="32"/>
        </w:rPr>
      </w:pPr>
      <w:r>
        <w:rPr>
          <w:rFonts w:hint="eastAsia"/>
          <w:szCs w:val="32"/>
          <w:lang w:bidi="ar"/>
        </w:rPr>
        <w:t>（二）防火间距、消防车登高操作场地、消防车道的设置、安全出口的形式和数量应当全部检查；其他项目的抽样数量不少于</w:t>
      </w:r>
      <w:r>
        <w:rPr>
          <w:szCs w:val="32"/>
          <w:lang w:bidi="ar"/>
        </w:rPr>
        <w:t>2</w:t>
      </w:r>
      <w:r>
        <w:rPr>
          <w:rFonts w:hint="eastAsia" w:ascii="方正仿宋_GBK" w:hAnsi="方正仿宋_GBK" w:cs="方正仿宋_GBK"/>
          <w:szCs w:val="32"/>
          <w:lang w:bidi="ar"/>
        </w:rPr>
        <w:t>处，当总数不大于</w:t>
      </w:r>
      <w:r>
        <w:rPr>
          <w:szCs w:val="32"/>
          <w:lang w:bidi="ar"/>
        </w:rPr>
        <w:t>2</w:t>
      </w:r>
      <w:r>
        <w:rPr>
          <w:rFonts w:hint="eastAsia" w:ascii="方正仿宋_GBK" w:hAnsi="方正仿宋_GBK" w:cs="方正仿宋_GBK"/>
          <w:szCs w:val="32"/>
          <w:lang w:bidi="ar"/>
        </w:rPr>
        <w:t>处时，应全部检查。</w:t>
      </w:r>
    </w:p>
    <w:p>
      <w:pPr>
        <w:widowControl/>
        <w:spacing w:line="570" w:lineRule="exact"/>
        <w:ind w:firstLine="632" w:firstLineChars="200"/>
        <w:jc w:val="left"/>
        <w:rPr>
          <w:szCs w:val="32"/>
        </w:rPr>
      </w:pPr>
      <w:r>
        <w:rPr>
          <w:rFonts w:hint="eastAsia" w:eastAsia="方正黑体_GBK"/>
          <w:szCs w:val="32"/>
          <w:lang w:bidi="ar"/>
        </w:rPr>
        <w:t>第十二条</w:t>
      </w:r>
      <w:r>
        <w:rPr>
          <w:rFonts w:hint="eastAsia" w:ascii="宋体" w:hAnsi="宋体" w:eastAsia="宋体" w:cs="宋体"/>
          <w:kern w:val="2"/>
          <w:szCs w:val="32"/>
          <w:lang w:bidi="ar"/>
        </w:rPr>
        <w:t xml:space="preserve"> </w:t>
      </w:r>
      <w:r>
        <w:rPr>
          <w:rFonts w:hint="eastAsia"/>
          <w:szCs w:val="32"/>
          <w:lang w:bidi="ar"/>
        </w:rPr>
        <w:t>现场评定结果符合下列全部条件的，结论为合格；不符合其中任何一项的，结论为不合格：</w:t>
      </w:r>
    </w:p>
    <w:p>
      <w:pPr>
        <w:widowControl/>
        <w:spacing w:line="570" w:lineRule="exact"/>
        <w:ind w:firstLine="632" w:firstLineChars="200"/>
        <w:jc w:val="left"/>
        <w:rPr>
          <w:szCs w:val="32"/>
        </w:rPr>
      </w:pPr>
      <w:r>
        <w:rPr>
          <w:rFonts w:hint="eastAsia"/>
          <w:szCs w:val="32"/>
          <w:lang w:bidi="ar"/>
        </w:rPr>
        <w:t>（一）符合经消防设计审查合格的消防设计文件；</w:t>
      </w:r>
    </w:p>
    <w:p>
      <w:pPr>
        <w:widowControl/>
        <w:spacing w:line="570" w:lineRule="exact"/>
        <w:ind w:firstLine="632" w:firstLineChars="200"/>
        <w:jc w:val="left"/>
        <w:rPr>
          <w:szCs w:val="32"/>
        </w:rPr>
      </w:pPr>
      <w:r>
        <w:rPr>
          <w:szCs w:val="32"/>
          <w:lang w:bidi="ar"/>
        </w:rPr>
        <w:t>（二）</w:t>
      </w:r>
      <w:r>
        <w:rPr>
          <w:rFonts w:hint="eastAsia"/>
          <w:szCs w:val="32"/>
          <w:lang w:bidi="ar"/>
        </w:rPr>
        <w:t>符合国家工程建设消防技术标准强制性条文规定的要求；</w:t>
      </w:r>
    </w:p>
    <w:p>
      <w:pPr>
        <w:widowControl/>
        <w:spacing w:line="570" w:lineRule="exact"/>
        <w:ind w:firstLine="632" w:firstLineChars="200"/>
        <w:jc w:val="left"/>
        <w:rPr>
          <w:szCs w:val="32"/>
        </w:rPr>
      </w:pPr>
      <w:r>
        <w:rPr>
          <w:szCs w:val="32"/>
          <w:lang w:bidi="ar"/>
        </w:rPr>
        <w:t>（三）</w:t>
      </w:r>
      <w:r>
        <w:rPr>
          <w:rFonts w:hint="eastAsia"/>
          <w:szCs w:val="32"/>
          <w:lang w:bidi="ar"/>
        </w:rPr>
        <w:t>有距离、高度、宽度、长度、面积、厚度等要求的内容，其与设计图纸标示的数值误差满足国家工程建设消防技术标准的要求；国家工程建设消防技术标准没有数值误差要求的，误差不超过</w:t>
      </w:r>
      <w:r>
        <w:rPr>
          <w:szCs w:val="32"/>
          <w:lang w:bidi="ar"/>
        </w:rPr>
        <w:t>5%</w:t>
      </w:r>
      <w:r>
        <w:rPr>
          <w:rFonts w:hint="eastAsia" w:ascii="方正仿宋_GBK" w:hAnsi="方正仿宋_GBK" w:cs="方正仿宋_GBK"/>
          <w:szCs w:val="32"/>
          <w:lang w:bidi="ar"/>
        </w:rPr>
        <w:t>，且不影响正常使用功能和消防安全；</w:t>
      </w:r>
    </w:p>
    <w:p>
      <w:pPr>
        <w:widowControl/>
        <w:spacing w:line="570" w:lineRule="exact"/>
        <w:ind w:firstLine="632" w:firstLineChars="200"/>
        <w:jc w:val="left"/>
        <w:rPr>
          <w:szCs w:val="32"/>
        </w:rPr>
      </w:pPr>
      <w:r>
        <w:rPr>
          <w:rFonts w:hint="eastAsia"/>
          <w:szCs w:val="32"/>
          <w:lang w:bidi="ar"/>
        </w:rPr>
        <w:t>（四）消防设施性能满足消防设计文件要求并能正常实现</w:t>
      </w:r>
      <w:r>
        <w:rPr>
          <w:szCs w:val="32"/>
          <w:lang w:bidi="ar"/>
        </w:rPr>
        <w:t>；</w:t>
      </w:r>
    </w:p>
    <w:p>
      <w:pPr>
        <w:widowControl/>
        <w:spacing w:line="570" w:lineRule="exact"/>
        <w:ind w:firstLine="632" w:firstLineChars="200"/>
        <w:jc w:val="left"/>
        <w:rPr>
          <w:szCs w:val="32"/>
        </w:rPr>
      </w:pPr>
      <w:r>
        <w:rPr>
          <w:szCs w:val="32"/>
          <w:lang w:bidi="ar"/>
        </w:rPr>
        <w:t>（五）</w:t>
      </w:r>
      <w:r>
        <w:rPr>
          <w:rFonts w:hint="eastAsia"/>
          <w:szCs w:val="32"/>
          <w:lang w:bidi="ar"/>
        </w:rPr>
        <w:t>消防设施系统主要功能满足消防设计文件要求并能正常实现。</w:t>
      </w:r>
    </w:p>
    <w:p>
      <w:pPr>
        <w:widowControl/>
        <w:spacing w:line="570" w:lineRule="exact"/>
        <w:ind w:firstLine="632" w:firstLineChars="200"/>
        <w:rPr>
          <w:szCs w:val="32"/>
        </w:rPr>
      </w:pPr>
      <w:r>
        <w:rPr>
          <w:rFonts w:hint="eastAsia" w:eastAsia="方正黑体_GBK"/>
          <w:szCs w:val="32"/>
          <w:lang w:bidi="ar"/>
        </w:rPr>
        <w:t>第十三条</w:t>
      </w:r>
      <w:r>
        <w:rPr>
          <w:rFonts w:hint="eastAsia" w:ascii="宋体" w:hAnsi="宋体" w:eastAsia="宋体" w:cs="宋体"/>
          <w:kern w:val="2"/>
          <w:szCs w:val="32"/>
          <w:lang w:bidi="ar"/>
        </w:rPr>
        <w:t xml:space="preserve"> </w:t>
      </w:r>
      <w:r>
        <w:rPr>
          <w:rFonts w:hint="eastAsia"/>
          <w:szCs w:val="32"/>
          <w:lang w:bidi="ar"/>
        </w:rPr>
        <w:t>住房和城乡建设主管部门开展消防验收现场评定时，应当如实填写《城市轨道交通工程消防验收现场评定记录表》。</w:t>
      </w:r>
    </w:p>
    <w:p>
      <w:pPr>
        <w:widowControl/>
        <w:spacing w:line="570" w:lineRule="exact"/>
        <w:ind w:firstLine="632" w:firstLineChars="200"/>
        <w:rPr>
          <w:szCs w:val="32"/>
        </w:rPr>
      </w:pPr>
      <w:r>
        <w:rPr>
          <w:rFonts w:hint="eastAsia"/>
          <w:szCs w:val="32"/>
          <w:lang w:bidi="ar"/>
        </w:rPr>
        <w:t>消防审验技术服务机构根据委托开展消防验收现场评定技术服务时，应当如实填写《城市轨道交通工程消防验收现场评定记录表》，并编制消防验收现场评定报告，报送住房和城乡建设主管部门，报告结论应当清晰、明确。</w:t>
      </w:r>
    </w:p>
    <w:p>
      <w:pPr>
        <w:spacing w:line="570" w:lineRule="exact"/>
        <w:ind w:firstLine="632" w:firstLineChars="200"/>
        <w:rPr>
          <w:szCs w:val="32"/>
        </w:rPr>
      </w:pPr>
      <w:r>
        <w:rPr>
          <w:rFonts w:hint="eastAsia" w:eastAsia="方正黑体_GBK"/>
          <w:szCs w:val="32"/>
          <w:lang w:bidi="ar"/>
        </w:rPr>
        <w:t>第十四条</w:t>
      </w:r>
      <w:r>
        <w:rPr>
          <w:rFonts w:hint="eastAsia" w:ascii="宋体" w:hAnsi="宋体" w:eastAsia="宋体" w:cs="宋体"/>
          <w:kern w:val="2"/>
          <w:szCs w:val="32"/>
          <w:lang w:bidi="ar"/>
        </w:rPr>
        <w:t xml:space="preserve"> </w:t>
      </w:r>
      <w:r>
        <w:rPr>
          <w:rFonts w:hint="eastAsia"/>
          <w:szCs w:val="32"/>
          <w:lang w:bidi="ar"/>
        </w:rPr>
        <w:t>住房和城乡建设主管部门应当自受理消防验收申请之日起十五日内出具消防验收意见。符合下列条件的，出具消防验收合格意见：</w:t>
      </w:r>
    </w:p>
    <w:p>
      <w:pPr>
        <w:widowControl/>
        <w:spacing w:line="570" w:lineRule="exact"/>
        <w:ind w:firstLine="632" w:firstLineChars="200"/>
        <w:rPr>
          <w:szCs w:val="32"/>
        </w:rPr>
      </w:pPr>
      <w:r>
        <w:rPr>
          <w:rFonts w:hint="eastAsia"/>
          <w:szCs w:val="32"/>
          <w:lang w:bidi="ar"/>
        </w:rPr>
        <w:t>（一）申请材料齐全、符合法定形式；</w:t>
      </w:r>
    </w:p>
    <w:p>
      <w:pPr>
        <w:widowControl/>
        <w:spacing w:line="570" w:lineRule="exact"/>
        <w:ind w:firstLine="632" w:firstLineChars="200"/>
        <w:rPr>
          <w:szCs w:val="32"/>
        </w:rPr>
      </w:pPr>
      <w:r>
        <w:rPr>
          <w:rFonts w:hint="eastAsia"/>
          <w:szCs w:val="32"/>
          <w:lang w:bidi="ar"/>
        </w:rPr>
        <w:t>（二）消防查验情况内容完备；</w:t>
      </w:r>
    </w:p>
    <w:p>
      <w:pPr>
        <w:widowControl/>
        <w:spacing w:line="570" w:lineRule="exact"/>
        <w:ind w:firstLine="632" w:firstLineChars="200"/>
        <w:rPr>
          <w:szCs w:val="32"/>
        </w:rPr>
      </w:pPr>
      <w:r>
        <w:rPr>
          <w:rFonts w:hint="eastAsia"/>
          <w:szCs w:val="32"/>
          <w:lang w:bidi="ar"/>
        </w:rPr>
        <w:t>（三）涉及消防的建设工程竣工图纸与经审查合格的消防设计文件相符；</w:t>
      </w:r>
    </w:p>
    <w:p>
      <w:pPr>
        <w:widowControl/>
        <w:spacing w:line="570" w:lineRule="exact"/>
        <w:ind w:firstLine="632" w:firstLineChars="200"/>
        <w:rPr>
          <w:szCs w:val="32"/>
        </w:rPr>
      </w:pPr>
      <w:r>
        <w:rPr>
          <w:rFonts w:hint="eastAsia"/>
          <w:szCs w:val="32"/>
          <w:lang w:bidi="ar"/>
        </w:rPr>
        <w:t>（四）现场评定结论合格。</w:t>
      </w:r>
    </w:p>
    <w:p>
      <w:pPr>
        <w:widowControl/>
        <w:spacing w:line="570" w:lineRule="exact"/>
        <w:ind w:firstLine="632" w:firstLineChars="200"/>
        <w:rPr>
          <w:szCs w:val="32"/>
        </w:rPr>
      </w:pPr>
      <w:r>
        <w:rPr>
          <w:rFonts w:hint="eastAsia"/>
          <w:szCs w:val="32"/>
          <w:lang w:bidi="ar"/>
        </w:rPr>
        <w:t>不符合上述条件的，出具消防验收不合格意见，并说明理由。</w:t>
      </w:r>
    </w:p>
    <w:p>
      <w:pPr>
        <w:widowControl/>
        <w:spacing w:line="570" w:lineRule="exact"/>
        <w:ind w:firstLine="632" w:firstLineChars="200"/>
        <w:rPr>
          <w:rFonts w:eastAsia="方正黑体_GBK"/>
          <w:kern w:val="2"/>
          <w:szCs w:val="32"/>
        </w:rPr>
      </w:pPr>
      <w:r>
        <w:rPr>
          <w:rFonts w:hint="eastAsia" w:eastAsia="方正黑体_GBK"/>
          <w:kern w:val="2"/>
          <w:szCs w:val="32"/>
          <w:lang w:bidi="ar"/>
        </w:rPr>
        <w:t>第十五条</w:t>
      </w:r>
      <w:r>
        <w:rPr>
          <w:rFonts w:hint="eastAsia" w:ascii="方正黑体_GBK" w:hAnsi="方正黑体_GBK" w:eastAsia="方正黑体_GBK" w:cs="方正黑体_GBK"/>
          <w:kern w:val="2"/>
          <w:szCs w:val="32"/>
          <w:lang w:bidi="ar"/>
        </w:rPr>
        <w:t xml:space="preserve"> </w:t>
      </w:r>
      <w:r>
        <w:rPr>
          <w:rFonts w:hint="eastAsia"/>
          <w:szCs w:val="32"/>
          <w:lang w:bidi="ar"/>
        </w:rPr>
        <w:t>消防审验技术服务机构出具虚假文件或者不按照国家工程建设消防技术标准开展消防审验技术服务活动的，由住房和城乡建设主管部门依法实施行政处罚。</w:t>
      </w:r>
    </w:p>
    <w:p>
      <w:pPr>
        <w:widowControl/>
        <w:spacing w:line="570" w:lineRule="exact"/>
        <w:ind w:firstLine="632" w:firstLineChars="200"/>
        <w:rPr>
          <w:szCs w:val="32"/>
        </w:rPr>
      </w:pPr>
      <w:r>
        <w:rPr>
          <w:rFonts w:hint="eastAsia" w:eastAsia="方正黑体_GBK"/>
          <w:szCs w:val="32"/>
          <w:lang w:bidi="ar"/>
        </w:rPr>
        <w:t>第十六条</w:t>
      </w:r>
      <w:r>
        <w:rPr>
          <w:rFonts w:hint="eastAsia" w:ascii="宋体" w:hAnsi="宋体" w:eastAsia="宋体" w:cs="宋体"/>
          <w:kern w:val="2"/>
          <w:szCs w:val="32"/>
          <w:lang w:bidi="ar"/>
        </w:rPr>
        <w:t xml:space="preserve"> </w:t>
      </w:r>
      <w:r>
        <w:rPr>
          <w:rFonts w:hint="eastAsia"/>
          <w:szCs w:val="32"/>
          <w:lang w:bidi="ar"/>
        </w:rPr>
        <w:t>甩项工程可以按照本办法的规定办理消防验收；未经消防验收或者消防验收不合格禁止投入使用。</w:t>
      </w:r>
    </w:p>
    <w:p>
      <w:pPr>
        <w:widowControl/>
        <w:spacing w:line="570" w:lineRule="exact"/>
        <w:ind w:firstLine="632" w:firstLineChars="200"/>
        <w:rPr>
          <w:szCs w:val="32"/>
        </w:rPr>
      </w:pPr>
      <w:r>
        <w:rPr>
          <w:rFonts w:hint="eastAsia" w:eastAsia="方正黑体_GBK"/>
          <w:szCs w:val="32"/>
          <w:lang w:bidi="ar"/>
        </w:rPr>
        <w:t>第十七条</w:t>
      </w:r>
      <w:r>
        <w:rPr>
          <w:rFonts w:hint="eastAsia" w:ascii="宋体" w:hAnsi="宋体" w:eastAsia="宋体" w:cs="宋体"/>
          <w:kern w:val="2"/>
          <w:szCs w:val="32"/>
          <w:lang w:bidi="ar"/>
        </w:rPr>
        <w:t xml:space="preserve"> </w:t>
      </w:r>
      <w:r>
        <w:rPr>
          <w:rFonts w:hint="eastAsia"/>
          <w:szCs w:val="32"/>
          <w:lang w:bidi="ar"/>
        </w:rPr>
        <w:t>本办法所称“单位工程”是指具备独立的施工条件或具备专业功能的建（构）筑物及专业设备系统。“项目工程”是指单独立项、具备独立使用功能和运营能力的城市轨道交通工程。“甩项工程”是指竣工验收时尚未施工或已施工，不具备验收条件、不纳入竣工验收范围的工程。</w:t>
      </w:r>
    </w:p>
    <w:p>
      <w:pPr>
        <w:widowControl/>
        <w:spacing w:line="570" w:lineRule="exact"/>
        <w:ind w:firstLine="632" w:firstLineChars="200"/>
        <w:rPr>
          <w:szCs w:val="32"/>
          <w:lang w:bidi="ar"/>
        </w:rPr>
      </w:pPr>
      <w:r>
        <w:rPr>
          <w:rFonts w:hint="eastAsia" w:eastAsia="方正黑体_GBK"/>
          <w:szCs w:val="32"/>
          <w:lang w:bidi="ar"/>
        </w:rPr>
        <w:t>第十八条</w:t>
      </w:r>
      <w:r>
        <w:rPr>
          <w:rFonts w:hint="eastAsia" w:ascii="宋体" w:hAnsi="宋体" w:eastAsia="宋体" w:cs="宋体"/>
          <w:kern w:val="2"/>
          <w:szCs w:val="32"/>
          <w:lang w:bidi="ar"/>
        </w:rPr>
        <w:t xml:space="preserve"> </w:t>
      </w:r>
      <w:r>
        <w:rPr>
          <w:rFonts w:hint="eastAsia"/>
          <w:szCs w:val="32"/>
          <w:lang w:bidi="ar"/>
        </w:rPr>
        <w:t>本办法自</w:t>
      </w:r>
      <w:r>
        <w:rPr>
          <w:szCs w:val="32"/>
          <w:lang w:bidi="ar"/>
        </w:rPr>
        <w:t>2023</w:t>
      </w:r>
      <w:r>
        <w:rPr>
          <w:rFonts w:hint="eastAsia"/>
          <w:szCs w:val="32"/>
          <w:lang w:bidi="ar"/>
        </w:rPr>
        <w:t>年</w:t>
      </w:r>
      <w:r>
        <w:rPr>
          <w:szCs w:val="32"/>
          <w:lang w:bidi="ar"/>
        </w:rPr>
        <w:t>12</w:t>
      </w:r>
      <w:r>
        <w:rPr>
          <w:rFonts w:hint="eastAsia"/>
          <w:szCs w:val="32"/>
          <w:lang w:bidi="ar"/>
        </w:rPr>
        <w:t>月</w:t>
      </w:r>
      <w:r>
        <w:rPr>
          <w:szCs w:val="32"/>
          <w:lang w:bidi="ar"/>
        </w:rPr>
        <w:t>1</w:t>
      </w:r>
      <w:r>
        <w:rPr>
          <w:rFonts w:hint="eastAsia"/>
          <w:szCs w:val="32"/>
          <w:lang w:bidi="ar"/>
        </w:rPr>
        <w:t>日施行，有效期至</w:t>
      </w:r>
      <w:r>
        <w:rPr>
          <w:szCs w:val="32"/>
          <w:lang w:bidi="ar"/>
        </w:rPr>
        <w:t>2028</w:t>
      </w:r>
      <w:r>
        <w:rPr>
          <w:rFonts w:hint="eastAsia"/>
          <w:szCs w:val="32"/>
          <w:lang w:bidi="ar"/>
        </w:rPr>
        <w:t>年</w:t>
      </w:r>
      <w:r>
        <w:rPr>
          <w:szCs w:val="32"/>
          <w:lang w:bidi="ar"/>
        </w:rPr>
        <w:t>11</w:t>
      </w:r>
      <w:r>
        <w:rPr>
          <w:rFonts w:hint="eastAsia"/>
          <w:szCs w:val="32"/>
          <w:lang w:bidi="ar"/>
        </w:rPr>
        <w:t>月</w:t>
      </w:r>
      <w:r>
        <w:rPr>
          <w:szCs w:val="32"/>
          <w:lang w:bidi="ar"/>
        </w:rPr>
        <w:t>30</w:t>
      </w:r>
      <w:r>
        <w:rPr>
          <w:rFonts w:hint="eastAsia"/>
          <w:szCs w:val="32"/>
          <w:lang w:bidi="ar"/>
        </w:rPr>
        <w:t>日。</w:t>
      </w:r>
    </w:p>
    <w:p>
      <w:pPr>
        <w:widowControl/>
        <w:spacing w:line="570" w:lineRule="exact"/>
        <w:ind w:firstLine="632" w:firstLineChars="200"/>
        <w:rPr>
          <w:szCs w:val="32"/>
          <w:lang w:bidi="ar"/>
        </w:rPr>
      </w:pPr>
    </w:p>
    <w:p>
      <w:pPr>
        <w:widowControl/>
        <w:spacing w:line="570" w:lineRule="exact"/>
        <w:ind w:firstLine="632" w:firstLineChars="200"/>
        <w:rPr>
          <w:szCs w:val="32"/>
          <w:lang w:bidi="ar"/>
        </w:rPr>
      </w:pPr>
    </w:p>
    <w:p>
      <w:pPr>
        <w:spacing w:line="570" w:lineRule="exact"/>
        <w:rPr>
          <w:szCs w:val="32"/>
          <w:lang w:bidi="ar"/>
        </w:rPr>
      </w:pPr>
      <w:r>
        <w:rPr>
          <w:szCs w:val="32"/>
          <w:lang w:bidi="ar"/>
        </w:rPr>
        <w:t xml:space="preserve"> </w:t>
      </w:r>
    </w:p>
    <w:p>
      <w:pPr>
        <w:spacing w:line="570" w:lineRule="exact"/>
        <w:rPr>
          <w:szCs w:val="32"/>
          <w:lang w:bidi="ar"/>
        </w:rPr>
      </w:pPr>
    </w:p>
    <w:p>
      <w:pPr>
        <w:spacing w:line="570" w:lineRule="exact"/>
        <w:rPr>
          <w:szCs w:val="32"/>
          <w:lang w:bidi="ar"/>
        </w:rPr>
      </w:pPr>
    </w:p>
    <w:p>
      <w:pPr>
        <w:spacing w:line="570" w:lineRule="exact"/>
        <w:ind w:firstLine="0"/>
        <w:rPr>
          <w:szCs w:val="32"/>
        </w:rPr>
      </w:pPr>
      <w:r>
        <w:rPr>
          <w:szCs w:val="32"/>
          <w:lang w:bidi="ar"/>
        </w:rPr>
        <w:t xml:space="preserve"> </w:t>
      </w:r>
    </w:p>
    <w:p>
      <w:pPr>
        <w:spacing w:line="60" w:lineRule="exact"/>
        <w:rPr>
          <w:szCs w:val="32"/>
          <w:highlight w:val="yellow"/>
        </w:rPr>
      </w:pPr>
      <w:r>
        <w:rPr>
          <w:szCs w:val="32"/>
          <w:highlight w:val="yellow"/>
          <w:lang w:bidi="ar"/>
        </w:rPr>
        <w:t xml:space="preserve"> </w:t>
      </w:r>
    </w:p>
    <w:tbl>
      <w:tblPr>
        <w:tblStyle w:val="7"/>
        <w:tblW w:w="0" w:type="auto"/>
        <w:tblInd w:w="0" w:type="dxa"/>
        <w:tblBorders>
          <w:top w:val="single" w:color="auto" w:sz="8" w:space="0"/>
          <w:left w:val="none" w:color="auto" w:sz="6" w:space="0"/>
          <w:bottom w:val="single" w:color="auto" w:sz="8" w:space="0"/>
          <w:right w:val="none" w:color="auto" w:sz="6" w:space="0"/>
          <w:insideH w:val="single" w:color="auto" w:sz="4" w:space="0"/>
          <w:insideV w:val="outset" w:color="auto" w:sz="6" w:space="0"/>
        </w:tblBorders>
        <w:tblLayout w:type="fixed"/>
        <w:tblCellMar>
          <w:top w:w="0" w:type="dxa"/>
          <w:left w:w="108" w:type="dxa"/>
          <w:bottom w:w="0" w:type="dxa"/>
          <w:right w:w="108" w:type="dxa"/>
        </w:tblCellMar>
      </w:tblPr>
      <w:tblGrid>
        <w:gridCol w:w="340"/>
        <w:gridCol w:w="8165"/>
        <w:gridCol w:w="340"/>
      </w:tblGrid>
      <w:tr>
        <w:tblPrEx>
          <w:tblBorders>
            <w:top w:val="single" w:color="auto" w:sz="8" w:space="0"/>
            <w:left w:val="none" w:color="auto" w:sz="6" w:space="0"/>
            <w:bottom w:val="single" w:color="auto" w:sz="8" w:space="0"/>
            <w:right w:val="none" w:color="auto" w:sz="6" w:space="0"/>
            <w:insideH w:val="single" w:color="auto" w:sz="4" w:space="0"/>
            <w:insideV w:val="outset" w:color="auto" w:sz="6" w:space="0"/>
          </w:tblBorders>
          <w:tblCellMar>
            <w:top w:w="0" w:type="dxa"/>
            <w:left w:w="108" w:type="dxa"/>
            <w:bottom w:w="0" w:type="dxa"/>
            <w:right w:w="108" w:type="dxa"/>
          </w:tblCellMar>
        </w:tblPrEx>
        <w:tc>
          <w:tcPr>
            <w:tcW w:w="340" w:type="dxa"/>
            <w:tcBorders>
              <w:top w:val="single" w:color="auto" w:sz="8" w:space="0"/>
              <w:left w:val="nil"/>
              <w:bottom w:val="single" w:color="auto" w:sz="8" w:space="0"/>
              <w:right w:val="nil"/>
            </w:tcBorders>
            <w:shd w:val="clear" w:color="auto" w:fill="auto"/>
          </w:tcPr>
          <w:p>
            <w:pPr>
              <w:adjustRightInd w:val="0"/>
              <w:spacing w:before="59" w:beforeLines="10" w:after="59" w:afterLines="10" w:line="570" w:lineRule="exact"/>
              <w:jc w:val="center"/>
              <w:rPr>
                <w:sz w:val="28"/>
                <w:szCs w:val="28"/>
              </w:rPr>
            </w:pPr>
          </w:p>
        </w:tc>
        <w:tc>
          <w:tcPr>
            <w:tcW w:w="8165" w:type="dxa"/>
            <w:tcBorders>
              <w:top w:val="single" w:color="auto" w:sz="8" w:space="0"/>
              <w:left w:val="nil"/>
              <w:bottom w:val="single" w:color="auto" w:sz="8" w:space="0"/>
              <w:right w:val="nil"/>
            </w:tcBorders>
            <w:shd w:val="clear" w:color="auto" w:fill="auto"/>
          </w:tcPr>
          <w:p>
            <w:pPr>
              <w:adjustRightInd w:val="0"/>
              <w:spacing w:before="59" w:beforeLines="10" w:after="59" w:afterLines="10" w:line="570" w:lineRule="exact"/>
              <w:ind w:right="-63" w:rightChars="-20" w:firstLine="0"/>
              <w:rPr>
                <w:sz w:val="28"/>
                <w:szCs w:val="28"/>
              </w:rPr>
            </w:pPr>
            <w:r>
              <w:rPr>
                <w:rFonts w:hint="eastAsia"/>
                <w:sz w:val="28"/>
                <w:szCs w:val="28"/>
                <w:lang w:bidi="ar"/>
              </w:rPr>
              <w:t>江苏省住房和城乡建设厅办公室</w:t>
            </w:r>
            <w:r>
              <w:rPr>
                <w:sz w:val="28"/>
                <w:szCs w:val="28"/>
                <w:lang w:bidi="ar"/>
              </w:rPr>
              <w:t xml:space="preserve">   </w:t>
            </w:r>
            <w:r>
              <w:rPr>
                <w:sz w:val="28"/>
                <w:szCs w:val="28"/>
                <w:lang w:bidi="ar"/>
              </w:rPr>
              <w:tab/>
            </w:r>
            <w:r>
              <w:rPr>
                <w:sz w:val="28"/>
                <w:szCs w:val="28"/>
                <w:lang w:bidi="ar"/>
              </w:rPr>
              <w:t xml:space="preserve">     2023</w:t>
            </w:r>
            <w:r>
              <w:rPr>
                <w:rFonts w:hint="eastAsia"/>
                <w:sz w:val="28"/>
                <w:szCs w:val="28"/>
                <w:lang w:bidi="ar"/>
              </w:rPr>
              <w:t>年</w:t>
            </w:r>
            <w:r>
              <w:rPr>
                <w:sz w:val="28"/>
                <w:szCs w:val="28"/>
                <w:lang w:bidi="ar"/>
              </w:rPr>
              <w:t>10</w:t>
            </w:r>
            <w:r>
              <w:rPr>
                <w:rFonts w:hint="eastAsia"/>
                <w:sz w:val="28"/>
                <w:szCs w:val="28"/>
                <w:lang w:bidi="ar"/>
              </w:rPr>
              <w:t>月</w:t>
            </w:r>
            <w:r>
              <w:rPr>
                <w:sz w:val="28"/>
                <w:szCs w:val="28"/>
                <w:lang w:bidi="ar"/>
              </w:rPr>
              <w:t>12</w:t>
            </w:r>
            <w:r>
              <w:rPr>
                <w:rFonts w:hint="eastAsia"/>
                <w:sz w:val="28"/>
                <w:szCs w:val="28"/>
                <w:lang w:bidi="ar"/>
              </w:rPr>
              <w:t>日印发</w:t>
            </w:r>
          </w:p>
        </w:tc>
        <w:tc>
          <w:tcPr>
            <w:tcW w:w="340" w:type="dxa"/>
            <w:tcBorders>
              <w:top w:val="single" w:color="auto" w:sz="8" w:space="0"/>
              <w:left w:val="nil"/>
              <w:bottom w:val="single" w:color="auto" w:sz="8" w:space="0"/>
              <w:right w:val="nil"/>
            </w:tcBorders>
            <w:shd w:val="clear" w:color="auto" w:fill="auto"/>
          </w:tcPr>
          <w:p>
            <w:pPr>
              <w:adjustRightInd w:val="0"/>
              <w:spacing w:before="59" w:beforeLines="10" w:after="59" w:afterLines="10" w:line="570" w:lineRule="exact"/>
              <w:rPr>
                <w:sz w:val="28"/>
                <w:szCs w:val="28"/>
              </w:rPr>
            </w:pPr>
          </w:p>
        </w:tc>
      </w:tr>
    </w:tbl>
    <w:p>
      <w:pPr>
        <w:spacing w:line="20" w:lineRule="exact"/>
        <w:rPr>
          <w:rFonts w:ascii="方正仿宋_GBK"/>
          <w:kern w:val="2"/>
          <w:szCs w:val="32"/>
        </w:rPr>
      </w:pPr>
      <w:r>
        <w:rPr>
          <w:rFonts w:hint="eastAsia" w:ascii="方正仿宋_GBK"/>
          <w:kern w:val="2"/>
          <w:szCs w:val="32"/>
          <w:lang w:bidi="ar"/>
        </w:rPr>
        <w:t xml:space="preserve"> </w:t>
      </w:r>
    </w:p>
    <w:p>
      <w:pPr>
        <w:pStyle w:val="18"/>
        <w:snapToGrid w:val="0"/>
        <w:spacing w:line="100" w:lineRule="atLeast"/>
        <w:ind w:left="-57" w:right="-57"/>
        <w:rPr>
          <w:b/>
        </w:rPr>
      </w:pPr>
    </w:p>
    <w:sectPr>
      <w:headerReference r:id="rId5" w:type="default"/>
      <w:footerReference r:id="rId7" w:type="default"/>
      <w:headerReference r:id="rId6" w:type="even"/>
      <w:footerReference r:id="rId8" w:type="even"/>
      <w:pgSz w:w="11906" w:h="16838"/>
      <w:pgMar w:top="2098" w:right="1474" w:bottom="1985" w:left="1587" w:header="720" w:footer="1474" w:gutter="0"/>
      <w:paperSrc w:first="15" w:other="15"/>
      <w:pgNumType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汉鼎简大宋">
    <w:altName w:val="微软雅黑"/>
    <w:panose1 w:val="00000000000000000000"/>
    <w:charset w:val="86"/>
    <w:family w:val="modern"/>
    <w:pitch w:val="default"/>
    <w:sig w:usb0="00000000" w:usb1="00000000" w:usb2="00000010" w:usb3="00000000" w:csb0="00040000" w:csb1="00000000"/>
  </w:font>
  <w:font w:name="汉鼎简黑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right"/>
    </w:pPr>
    <w:r>
      <w:rPr>
        <w:rFonts w:hint="eastAsia"/>
      </w:rPr>
      <w:t xml:space="preserve">— </w:t>
    </w:r>
    <w:r>
      <w:rPr>
        <w:rStyle w:val="10"/>
      </w:rPr>
      <w:fldChar w:fldCharType="begin"/>
    </w:r>
    <w:r>
      <w:rPr>
        <w:rStyle w:val="10"/>
      </w:rPr>
      <w:instrText xml:space="preserve"> PAGE </w:instrText>
    </w:r>
    <w:r>
      <w:rPr>
        <w:rStyle w:val="10"/>
      </w:rPr>
      <w:fldChar w:fldCharType="separate"/>
    </w:r>
    <w:r>
      <w:rPr>
        <w:rStyle w:val="10"/>
      </w:rPr>
      <w:t>5</w:t>
    </w:r>
    <w:r>
      <w:rPr>
        <w:rStyle w:val="10"/>
      </w:rPr>
      <w:fldChar w:fldCharType="end"/>
    </w:r>
    <w:r>
      <w:rPr>
        <w:rStyle w:val="10"/>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both"/>
    </w:pPr>
    <w:r>
      <w:rPr>
        <w:rFonts w:hint="eastAsia"/>
      </w:rPr>
      <w:t xml:space="preserve">— </w:t>
    </w:r>
    <w:r>
      <w:rPr>
        <w:rStyle w:val="10"/>
      </w:rPr>
      <w:fldChar w:fldCharType="begin"/>
    </w:r>
    <w:r>
      <w:rPr>
        <w:rStyle w:val="10"/>
      </w:rPr>
      <w:instrText xml:space="preserve"> PAGE </w:instrText>
    </w:r>
    <w:r>
      <w:rPr>
        <w:rStyle w:val="10"/>
      </w:rPr>
      <w:fldChar w:fldCharType="separate"/>
    </w:r>
    <w:r>
      <w:rPr>
        <w:rStyle w:val="10"/>
      </w:rPr>
      <w:t>4</w:t>
    </w:r>
    <w:r>
      <w:rPr>
        <w:rStyle w:val="10"/>
      </w:rPr>
      <w:fldChar w:fldCharType="end"/>
    </w:r>
    <w:r>
      <w:rPr>
        <w:rStyle w:val="10"/>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D105E"/>
    <w:rsid w:val="00004491"/>
    <w:rsid w:val="00024D59"/>
    <w:rsid w:val="00026EC9"/>
    <w:rsid w:val="00026F78"/>
    <w:rsid w:val="000458F6"/>
    <w:rsid w:val="00050F21"/>
    <w:rsid w:val="00086865"/>
    <w:rsid w:val="00092103"/>
    <w:rsid w:val="00150E8C"/>
    <w:rsid w:val="00172D6F"/>
    <w:rsid w:val="0017326B"/>
    <w:rsid w:val="001A760C"/>
    <w:rsid w:val="001B0021"/>
    <w:rsid w:val="00210BC5"/>
    <w:rsid w:val="00245BF1"/>
    <w:rsid w:val="0025543A"/>
    <w:rsid w:val="002C67E8"/>
    <w:rsid w:val="003055DA"/>
    <w:rsid w:val="00310770"/>
    <w:rsid w:val="0035559D"/>
    <w:rsid w:val="00384509"/>
    <w:rsid w:val="00396A5E"/>
    <w:rsid w:val="003B6C15"/>
    <w:rsid w:val="003D4AA7"/>
    <w:rsid w:val="003D78FE"/>
    <w:rsid w:val="003F2C4E"/>
    <w:rsid w:val="004A0177"/>
    <w:rsid w:val="004C5950"/>
    <w:rsid w:val="004E4535"/>
    <w:rsid w:val="004F5C29"/>
    <w:rsid w:val="00514536"/>
    <w:rsid w:val="005421C5"/>
    <w:rsid w:val="00544264"/>
    <w:rsid w:val="005A0672"/>
    <w:rsid w:val="006558DD"/>
    <w:rsid w:val="00660926"/>
    <w:rsid w:val="00670554"/>
    <w:rsid w:val="00680909"/>
    <w:rsid w:val="00680F42"/>
    <w:rsid w:val="006C67D5"/>
    <w:rsid w:val="006E59B5"/>
    <w:rsid w:val="006F6FEE"/>
    <w:rsid w:val="0079079F"/>
    <w:rsid w:val="007A4692"/>
    <w:rsid w:val="007A66C9"/>
    <w:rsid w:val="00A20D42"/>
    <w:rsid w:val="00A27EE0"/>
    <w:rsid w:val="00A3469A"/>
    <w:rsid w:val="00A445C2"/>
    <w:rsid w:val="00A76B0B"/>
    <w:rsid w:val="00A86587"/>
    <w:rsid w:val="00AB1867"/>
    <w:rsid w:val="00B37374"/>
    <w:rsid w:val="00B65B1F"/>
    <w:rsid w:val="00C03FFC"/>
    <w:rsid w:val="00C224B9"/>
    <w:rsid w:val="00C25057"/>
    <w:rsid w:val="00C73BD2"/>
    <w:rsid w:val="00C818C1"/>
    <w:rsid w:val="00DC1B78"/>
    <w:rsid w:val="00DE6B66"/>
    <w:rsid w:val="00EA0244"/>
    <w:rsid w:val="00EC0461"/>
    <w:rsid w:val="00F33B1C"/>
    <w:rsid w:val="00F42CF8"/>
    <w:rsid w:val="00F53AAD"/>
    <w:rsid w:val="00F90B02"/>
    <w:rsid w:val="00FE33C9"/>
    <w:rsid w:val="1F3D3F17"/>
    <w:rsid w:val="20A83F3B"/>
    <w:rsid w:val="324D105E"/>
    <w:rsid w:val="5D0443B2"/>
    <w:rsid w:val="6F7B1599"/>
    <w:rsid w:val="6FFF732F"/>
    <w:rsid w:val="75E748EA"/>
    <w:rsid w:val="76C8B399"/>
    <w:rsid w:val="776B89AE"/>
    <w:rsid w:val="7FBB7F2C"/>
    <w:rsid w:val="8BF77B7E"/>
    <w:rsid w:val="DEF8836B"/>
    <w:rsid w:val="DFF6D888"/>
    <w:rsid w:val="F59B639A"/>
    <w:rsid w:val="F6F720E1"/>
    <w:rsid w:val="FFEDEC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uiPriority w:val="0"/>
    <w:pPr>
      <w:keepNext/>
      <w:keepLines/>
      <w:spacing w:before="340" w:after="330" w:line="578" w:lineRule="atLeast"/>
      <w:outlineLvl w:val="0"/>
    </w:pPr>
    <w:rPr>
      <w:b/>
      <w:kern w:val="44"/>
      <w:sz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adjustRightInd w:val="0"/>
      <w:snapToGrid/>
      <w:ind w:firstLine="0"/>
      <w:jc w:val="left"/>
    </w:pPr>
    <w:rPr>
      <w:spacing w:val="-25"/>
    </w:rPr>
  </w:style>
  <w:style w:type="paragraph" w:styleId="4">
    <w:name w:val="Balloon Text"/>
    <w:basedOn w:val="1"/>
    <w:link w:val="27"/>
    <w:uiPriority w:val="0"/>
    <w:pPr>
      <w:spacing w:line="240" w:lineRule="auto"/>
    </w:pPr>
    <w:rPr>
      <w:sz w:val="18"/>
      <w:szCs w:val="18"/>
    </w:rPr>
  </w:style>
  <w:style w:type="paragraph" w:styleId="5">
    <w:name w:val="footer"/>
    <w:basedOn w:val="1"/>
    <w:qFormat/>
    <w:uiPriority w:val="0"/>
    <w:pPr>
      <w:tabs>
        <w:tab w:val="center" w:pos="4153"/>
        <w:tab w:val="right" w:pos="8306"/>
      </w:tabs>
      <w:spacing w:line="400" w:lineRule="atLeast"/>
      <w:ind w:firstLine="0"/>
      <w:jc w:val="center"/>
    </w:pPr>
    <w:rPr>
      <w:sz w:val="28"/>
    </w:rPr>
  </w:style>
  <w:style w:type="paragraph" w:styleId="6">
    <w:name w:val="header"/>
    <w:basedOn w:val="1"/>
    <w:uiPriority w:val="0"/>
    <w:pPr>
      <w:pBdr>
        <w:bottom w:val="single" w:color="auto" w:sz="6" w:space="1"/>
      </w:pBdr>
      <w:tabs>
        <w:tab w:val="center" w:pos="4153"/>
        <w:tab w:val="right" w:pos="8306"/>
      </w:tabs>
      <w:spacing w:line="240" w:lineRule="atLeast"/>
      <w:jc w:val="center"/>
    </w:pPr>
    <w:rPr>
      <w:sz w:val="18"/>
    </w:rPr>
  </w:style>
  <w:style w:type="table" w:styleId="8">
    <w:name w:val="Table Grid"/>
    <w:basedOn w:val="7"/>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标题1"/>
    <w:basedOn w:val="1"/>
    <w:next w:val="1"/>
    <w:uiPriority w:val="0"/>
    <w:pPr>
      <w:tabs>
        <w:tab w:val="left" w:pos="9193"/>
        <w:tab w:val="left" w:pos="9827"/>
      </w:tabs>
      <w:spacing w:line="700" w:lineRule="atLeast"/>
      <w:ind w:firstLine="0"/>
      <w:jc w:val="center"/>
    </w:pPr>
    <w:rPr>
      <w:rFonts w:eastAsia="方正小标宋_GBK"/>
      <w:sz w:val="44"/>
    </w:rPr>
  </w:style>
  <w:style w:type="paragraph" w:customStyle="1" w:styleId="12">
    <w:name w:val="红线"/>
    <w:basedOn w:val="2"/>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13">
    <w:name w:val="标题2"/>
    <w:basedOn w:val="1"/>
    <w:next w:val="1"/>
    <w:autoRedefine/>
    <w:qFormat/>
    <w:uiPriority w:val="0"/>
    <w:pPr>
      <w:ind w:firstLine="0"/>
      <w:jc w:val="center"/>
    </w:pPr>
    <w:rPr>
      <w:rFonts w:eastAsia="方正楷体_GBK"/>
    </w:rPr>
  </w:style>
  <w:style w:type="paragraph" w:customStyle="1" w:styleId="14">
    <w:name w:val="标题3"/>
    <w:basedOn w:val="1"/>
    <w:next w:val="1"/>
    <w:autoRedefine/>
    <w:qFormat/>
    <w:uiPriority w:val="0"/>
    <w:rPr>
      <w:rFonts w:eastAsia="方正黑体_GBK"/>
    </w:rPr>
  </w:style>
  <w:style w:type="paragraph" w:customStyle="1" w:styleId="15">
    <w:name w:val="密级"/>
    <w:basedOn w:val="1"/>
    <w:uiPriority w:val="0"/>
    <w:pPr>
      <w:adjustRightInd w:val="0"/>
      <w:snapToGrid/>
      <w:spacing w:line="425" w:lineRule="atLeast"/>
      <w:ind w:firstLine="0"/>
      <w:jc w:val="right"/>
    </w:pPr>
    <w:rPr>
      <w:rFonts w:ascii="黑体" w:eastAsia="黑体"/>
      <w:sz w:val="30"/>
    </w:rPr>
  </w:style>
  <w:style w:type="paragraph" w:customStyle="1" w:styleId="16">
    <w:name w:val="主题词"/>
    <w:basedOn w:val="1"/>
    <w:autoRedefine/>
    <w:qFormat/>
    <w:uiPriority w:val="0"/>
    <w:pPr>
      <w:adjustRightInd w:val="0"/>
      <w:snapToGrid/>
      <w:spacing w:line="240" w:lineRule="atLeast"/>
      <w:ind w:firstLine="0"/>
      <w:jc w:val="left"/>
    </w:pPr>
    <w:rPr>
      <w:rFonts w:ascii="方正黑体_GBK" w:eastAsia="方正黑体_GBK"/>
    </w:rPr>
  </w:style>
  <w:style w:type="paragraph" w:customStyle="1" w:styleId="17">
    <w:name w:val="抄送栏"/>
    <w:basedOn w:val="1"/>
    <w:autoRedefine/>
    <w:qFormat/>
    <w:uiPriority w:val="0"/>
    <w:pPr>
      <w:adjustRightInd w:val="0"/>
      <w:snapToGrid/>
      <w:spacing w:line="454" w:lineRule="atLeast"/>
      <w:ind w:left="1310" w:right="357" w:hanging="953"/>
    </w:pPr>
  </w:style>
  <w:style w:type="paragraph" w:customStyle="1" w:styleId="18">
    <w:name w:val="线型"/>
    <w:basedOn w:val="17"/>
    <w:uiPriority w:val="0"/>
    <w:pPr>
      <w:spacing w:line="240" w:lineRule="auto"/>
      <w:ind w:left="0" w:firstLine="0"/>
      <w:jc w:val="center"/>
    </w:pPr>
    <w:rPr>
      <w:sz w:val="21"/>
    </w:rPr>
  </w:style>
  <w:style w:type="paragraph" w:customStyle="1" w:styleId="19">
    <w:name w:val="印发栏"/>
    <w:basedOn w:val="3"/>
    <w:uiPriority w:val="0"/>
    <w:pPr>
      <w:tabs>
        <w:tab w:val="right" w:pos="8465"/>
      </w:tabs>
      <w:spacing w:line="454" w:lineRule="atLeast"/>
      <w:ind w:left="357" w:right="357"/>
    </w:pPr>
    <w:rPr>
      <w:spacing w:val="0"/>
    </w:rPr>
  </w:style>
  <w:style w:type="paragraph" w:customStyle="1" w:styleId="20">
    <w:name w:val="印数"/>
    <w:basedOn w:val="19"/>
    <w:uiPriority w:val="0"/>
    <w:pPr>
      <w:spacing w:line="400" w:lineRule="atLeast"/>
      <w:ind w:left="0" w:right="0"/>
      <w:jc w:val="right"/>
    </w:pPr>
  </w:style>
  <w:style w:type="paragraph" w:customStyle="1" w:styleId="21">
    <w:name w:val="附件栏"/>
    <w:basedOn w:val="1"/>
    <w:autoRedefine/>
    <w:uiPriority w:val="0"/>
  </w:style>
  <w:style w:type="paragraph" w:customStyle="1" w:styleId="22">
    <w:name w:val="文头"/>
    <w:basedOn w:val="1"/>
    <w:uiPriority w:val="0"/>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23">
    <w:name w:val="紧急程度"/>
    <w:basedOn w:val="15"/>
    <w:uiPriority w:val="0"/>
    <w:pPr>
      <w:spacing w:line="397" w:lineRule="atLeast"/>
    </w:pPr>
    <w:rPr>
      <w:rFonts w:ascii="汉鼎简黑体" w:hAnsi="汉鼎简黑体" w:eastAsia="汉鼎简黑体"/>
      <w:sz w:val="32"/>
    </w:rPr>
  </w:style>
  <w:style w:type="paragraph" w:customStyle="1" w:styleId="24">
    <w:name w:val="样式 主题词 + 段后: 8.85 磅 行距: 固定值 26 磅"/>
    <w:basedOn w:val="16"/>
    <w:uiPriority w:val="0"/>
    <w:pPr>
      <w:spacing w:after="177" w:line="520" w:lineRule="exact"/>
    </w:pPr>
    <w:rPr>
      <w:rFonts w:cs="宋体"/>
      <w:bCs/>
    </w:rPr>
  </w:style>
  <w:style w:type="paragraph" w:customStyle="1" w:styleId="25">
    <w:name w:val="列出段落1"/>
    <w:basedOn w:val="1"/>
    <w:autoRedefine/>
    <w:uiPriority w:val="0"/>
    <w:pPr>
      <w:ind w:firstLine="420" w:firstLineChars="200"/>
    </w:pPr>
    <w:rPr>
      <w:rFonts w:ascii="Calibri" w:hAnsi="Calibri" w:eastAsia="宋体"/>
      <w:kern w:val="2"/>
      <w:sz w:val="21"/>
      <w:szCs w:val="21"/>
    </w:rPr>
  </w:style>
  <w:style w:type="character" w:customStyle="1" w:styleId="26">
    <w:name w:val="15"/>
    <w:basedOn w:val="9"/>
    <w:uiPriority w:val="0"/>
    <w:rPr>
      <w:rFonts w:hint="default" w:ascii="Calibri" w:hAnsi="Calibri" w:cs="Calibri"/>
    </w:rPr>
  </w:style>
  <w:style w:type="character" w:customStyle="1" w:styleId="27">
    <w:name w:val="批注框文本 Char"/>
    <w:basedOn w:val="9"/>
    <w:link w:val="4"/>
    <w:uiPriority w:val="0"/>
    <w:rPr>
      <w:rFonts w:eastAsia="方正仿宋_GBK"/>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jscin</Company>
  <Pages>5</Pages>
  <Words>346</Words>
  <Characters>1977</Characters>
  <Lines>16</Lines>
  <Paragraphs>4</Paragraphs>
  <TotalTime>1</TotalTime>
  <ScaleCrop>false</ScaleCrop>
  <LinksUpToDate>false</LinksUpToDate>
  <CharactersWithSpaces>2319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2023-10-12T09:07:00Z</dcterms:created>
  <dc:creator>zjt</dc:creator>
  <cp:lastModifiedBy>阳阳</cp:lastModifiedBy>
  <dcterms:modified xsi:type="dcterms:W3CDTF">2024-05-19T08:28:48Z</dcterms:modified>
  <dc:title>省厅2（下行）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27A53B5C948D4612989118E418CF0975_13</vt:lpwstr>
  </property>
</Properties>
</file>