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spacing w:before="2"/>
        <w:ind w:left="0"/>
        <w:rPr>
          <w:rFonts w:ascii="Times New Roman"/>
          <w:sz w:val="17"/>
        </w:rPr>
      </w:pPr>
    </w:p>
    <w:p>
      <w:pPr>
        <w:spacing w:line="610" w:lineRule="exact" w:before="0"/>
        <w:ind w:left="266" w:right="405" w:firstLine="0"/>
        <w:jc w:val="center"/>
        <w:rPr>
          <w:rFonts w:ascii="Arial Unicode MS" w:eastAsia="Arial Unicode MS" w:hint="eastAsia"/>
          <w:sz w:val="36"/>
        </w:rPr>
      </w:pPr>
      <w:r>
        <w:rPr>
          <w:rFonts w:ascii="Arial Unicode MS" w:eastAsia="Arial Unicode MS" w:hint="eastAsia"/>
          <w:sz w:val="36"/>
        </w:rPr>
        <w:t>习近平总书记关于安全生产</w:t>
      </w:r>
    </w:p>
    <w:p>
      <w:pPr>
        <w:spacing w:line="625" w:lineRule="exact" w:before="0"/>
        <w:ind w:left="266" w:right="403" w:firstLine="0"/>
        <w:jc w:val="center"/>
        <w:rPr>
          <w:rFonts w:ascii="Arial Unicode MS" w:eastAsia="Arial Unicode MS" w:hint="eastAsia"/>
          <w:sz w:val="36"/>
        </w:rPr>
      </w:pPr>
      <w:r>
        <w:rPr>
          <w:rFonts w:ascii="Arial Unicode MS" w:eastAsia="Arial Unicode MS" w:hint="eastAsia"/>
          <w:sz w:val="36"/>
        </w:rPr>
        <w:t>重要讲话和指示摘录</w:t>
      </w:r>
    </w:p>
    <w:p>
      <w:pPr>
        <w:pStyle w:val="BodyText"/>
        <w:spacing w:before="11"/>
        <w:ind w:left="0"/>
        <w:rPr>
          <w:rFonts w:ascii="Arial Unicode MS"/>
          <w:sz w:val="27"/>
        </w:rPr>
      </w:pPr>
    </w:p>
    <w:p>
      <w:pPr>
        <w:pStyle w:val="Heading3"/>
        <w:ind w:left="433" w:right="675" w:firstLine="482"/>
      </w:pPr>
      <w:r>
        <w:rPr/>
        <w:t>人命关天，发展决不能以牺牲人的生命为代价。这必须作为一条不可逾越的红线。</w:t>
      </w:r>
    </w:p>
    <w:p>
      <w:pPr>
        <w:pStyle w:val="BodyText"/>
        <w:spacing w:before="15"/>
        <w:ind w:left="0"/>
        <w:rPr>
          <w:rFonts w:ascii="Microsoft JhengHei"/>
          <w:b/>
          <w:sz w:val="23"/>
        </w:rPr>
      </w:pPr>
    </w:p>
    <w:p>
      <w:pPr>
        <w:spacing w:line="240" w:lineRule="auto" w:before="0"/>
        <w:ind w:left="433" w:right="675" w:firstLine="482"/>
        <w:jc w:val="left"/>
        <w:rPr>
          <w:rFonts w:ascii="Microsoft JhengHei" w:eastAsia="Microsoft JhengHei" w:hint="eastAsia"/>
          <w:b/>
          <w:sz w:val="24"/>
        </w:rPr>
      </w:pPr>
      <w:r>
        <w:rPr>
          <w:rFonts w:ascii="Microsoft JhengHei" w:eastAsia="Microsoft JhengHei" w:hint="eastAsia"/>
          <w:b/>
          <w:sz w:val="24"/>
        </w:rPr>
        <w:t>落实安全生产责任制，要落实行业主管部门直接监 </w:t>
      </w:r>
      <w:r>
        <w:rPr>
          <w:rFonts w:ascii="Microsoft JhengHei" w:eastAsia="Microsoft JhengHei" w:hint="eastAsia"/>
          <w:b/>
          <w:spacing w:val="-1"/>
          <w:sz w:val="24"/>
        </w:rPr>
        <w:t>管、安全监管部门综合监管、地方政府属地监管，坚持管</w:t>
      </w:r>
    </w:p>
    <w:p>
      <w:pPr>
        <w:spacing w:line="240" w:lineRule="auto" w:before="0"/>
        <w:ind w:left="433" w:right="517" w:firstLine="0"/>
        <w:jc w:val="left"/>
        <w:rPr>
          <w:rFonts w:ascii="Microsoft JhengHei" w:eastAsia="Microsoft JhengHei" w:hint="eastAsia"/>
          <w:b/>
          <w:sz w:val="24"/>
        </w:rPr>
      </w:pPr>
      <w:r>
        <w:rPr>
          <w:rFonts w:ascii="Microsoft JhengHei" w:eastAsia="Microsoft JhengHei" w:hint="eastAsia"/>
          <w:b/>
          <w:spacing w:val="-10"/>
          <w:sz w:val="24"/>
        </w:rPr>
        <w:t>行业必须管安全，管业务必须管安全，管生产必须管安全， </w:t>
      </w:r>
      <w:r>
        <w:rPr>
          <w:rFonts w:ascii="Microsoft JhengHei" w:eastAsia="Microsoft JhengHei" w:hint="eastAsia"/>
          <w:b/>
          <w:sz w:val="24"/>
        </w:rPr>
        <w:t>而且要党政同责、一岗双责、齐抓共管。</w:t>
      </w:r>
    </w:p>
    <w:p>
      <w:pPr>
        <w:pStyle w:val="BodyText"/>
        <w:spacing w:before="11"/>
        <w:ind w:left="0"/>
        <w:rPr>
          <w:rFonts w:ascii="Microsoft JhengHei"/>
          <w:b/>
          <w:sz w:val="23"/>
        </w:rPr>
      </w:pPr>
    </w:p>
    <w:p>
      <w:pPr>
        <w:spacing w:line="240" w:lineRule="auto" w:before="0"/>
        <w:ind w:left="433" w:right="675" w:firstLine="482"/>
        <w:jc w:val="both"/>
        <w:rPr>
          <w:rFonts w:ascii="Microsoft JhengHei" w:eastAsia="Microsoft JhengHei" w:hint="eastAsia"/>
          <w:b/>
          <w:sz w:val="24"/>
        </w:rPr>
      </w:pPr>
      <w:r>
        <w:rPr>
          <w:rFonts w:ascii="Microsoft JhengHei" w:eastAsia="Microsoft JhengHei" w:hint="eastAsia"/>
          <w:b/>
          <w:spacing w:val="-1"/>
          <w:sz w:val="24"/>
        </w:rPr>
        <w:t>安全生产必须警钟长鸣，常抓不懈，丝毫放松不得， 每一个方面，每一个部门，每一个企业都放松不得，否则</w:t>
      </w:r>
      <w:r>
        <w:rPr>
          <w:rFonts w:ascii="Microsoft JhengHei" w:eastAsia="Microsoft JhengHei" w:hint="eastAsia"/>
          <w:b/>
          <w:sz w:val="24"/>
        </w:rPr>
        <w:t>就会给国家和人民带来不可挽回的损失。</w:t>
      </w:r>
    </w:p>
    <w:p>
      <w:pPr>
        <w:pStyle w:val="BodyText"/>
        <w:spacing w:before="14"/>
        <w:ind w:left="0"/>
        <w:rPr>
          <w:rFonts w:ascii="Microsoft JhengHei"/>
          <w:b/>
          <w:sz w:val="23"/>
        </w:rPr>
      </w:pPr>
    </w:p>
    <w:p>
      <w:pPr>
        <w:spacing w:line="240" w:lineRule="auto" w:before="1"/>
        <w:ind w:left="433" w:right="674" w:firstLine="482"/>
        <w:jc w:val="both"/>
        <w:rPr>
          <w:rFonts w:ascii="Microsoft JhengHei" w:eastAsia="Microsoft JhengHei" w:hint="eastAsia"/>
          <w:b/>
          <w:sz w:val="24"/>
        </w:rPr>
      </w:pPr>
      <w:r>
        <w:rPr>
          <w:rFonts w:ascii="Microsoft JhengHei" w:eastAsia="Microsoft JhengHei" w:hint="eastAsia"/>
          <w:b/>
          <w:sz w:val="24"/>
        </w:rPr>
        <w:t>所有企业都有必须认真履行安全生产主体责任，做到安全投入到位、安全培训到位、基础管理到位、应急救援到位，确保安全生产。</w:t>
      </w:r>
    </w:p>
    <w:p>
      <w:pPr>
        <w:spacing w:after="0" w:line="240" w:lineRule="auto"/>
        <w:jc w:val="both"/>
        <w:rPr>
          <w:rFonts w:ascii="Microsoft JhengHei" w:eastAsia="Microsoft JhengHei" w:hint="eastAsia"/>
          <w:sz w:val="24"/>
        </w:rPr>
        <w:sectPr>
          <w:type w:val="continuous"/>
          <w:pgSz w:w="8400" w:h="11910"/>
          <w:pgMar w:top="1100" w:bottom="280" w:left="700" w:right="560"/>
        </w:sectPr>
      </w:pPr>
    </w:p>
    <w:p>
      <w:pPr>
        <w:pStyle w:val="BodyText"/>
        <w:spacing w:before="11"/>
        <w:ind w:left="0"/>
        <w:rPr>
          <w:rFonts w:ascii="Microsoft JhengHei"/>
          <w:b/>
          <w:sz w:val="6"/>
        </w:rPr>
      </w:pPr>
    </w:p>
    <w:p>
      <w:pPr>
        <w:spacing w:line="273" w:lineRule="auto" w:before="0"/>
        <w:ind w:left="433" w:right="675" w:firstLine="482"/>
        <w:jc w:val="left"/>
        <w:rPr>
          <w:rFonts w:ascii="Microsoft JhengHei" w:eastAsia="Microsoft JhengHei" w:hint="eastAsia"/>
          <w:b/>
          <w:sz w:val="24"/>
        </w:rPr>
      </w:pPr>
      <w:r>
        <w:rPr>
          <w:rFonts w:ascii="Microsoft JhengHei" w:eastAsia="Microsoft JhengHei" w:hint="eastAsia"/>
          <w:b/>
          <w:sz w:val="24"/>
        </w:rPr>
        <w:t>健全风险防范化解机制，坚持从源头上防范化解重大安全风险，真正把问题解决在萌芽之时、成灾之前。</w:t>
      </w:r>
    </w:p>
    <w:p>
      <w:pPr>
        <w:pStyle w:val="BodyText"/>
        <w:spacing w:before="2"/>
        <w:ind w:left="0"/>
        <w:rPr>
          <w:rFonts w:ascii="Microsoft JhengHei"/>
          <w:b/>
          <w:sz w:val="26"/>
        </w:rPr>
      </w:pPr>
    </w:p>
    <w:p>
      <w:pPr>
        <w:spacing w:line="271" w:lineRule="auto" w:before="0"/>
        <w:ind w:left="433" w:right="675" w:firstLine="482"/>
        <w:jc w:val="both"/>
        <w:rPr>
          <w:rFonts w:ascii="Microsoft JhengHei" w:eastAsia="Microsoft JhengHei" w:hint="eastAsia"/>
          <w:b/>
          <w:sz w:val="24"/>
        </w:rPr>
      </w:pPr>
      <w:r>
        <w:rPr>
          <w:rFonts w:ascii="Microsoft JhengHei" w:eastAsia="Microsoft JhengHei" w:hint="eastAsia"/>
          <w:b/>
          <w:sz w:val="24"/>
        </w:rPr>
        <w:t>坚持群众观点和群众路线，坚持社会共治，完善公民安全教育体系，推动安全宣传进企业、进农村、进社区、进学校、进家庭。</w:t>
      </w:r>
    </w:p>
    <w:p>
      <w:pPr>
        <w:pStyle w:val="BodyText"/>
        <w:spacing w:before="10"/>
        <w:ind w:left="0"/>
        <w:rPr>
          <w:rFonts w:ascii="Microsoft JhengHei"/>
          <w:b/>
          <w:sz w:val="27"/>
        </w:rPr>
      </w:pPr>
    </w:p>
    <w:p>
      <w:pPr>
        <w:spacing w:line="271" w:lineRule="auto" w:before="0"/>
        <w:ind w:left="433" w:right="675" w:firstLine="482"/>
        <w:jc w:val="left"/>
        <w:rPr>
          <w:rFonts w:ascii="Microsoft JhengHei" w:eastAsia="Microsoft JhengHei" w:hint="eastAsia"/>
          <w:b/>
          <w:sz w:val="24"/>
        </w:rPr>
      </w:pPr>
      <w:r>
        <w:rPr>
          <w:rFonts w:ascii="Microsoft JhengHei" w:eastAsia="Microsoft JhengHei" w:hint="eastAsia"/>
          <w:b/>
          <w:sz w:val="24"/>
        </w:rPr>
        <w:t>人民至上，生命至上。保护人民群众生命安全和身体健康可以不惜一切代价。</w:t>
      </w:r>
    </w:p>
    <w:p>
      <w:pPr>
        <w:spacing w:after="0" w:line="271" w:lineRule="auto"/>
        <w:jc w:val="left"/>
        <w:rPr>
          <w:rFonts w:ascii="Microsoft JhengHei" w:eastAsia="Microsoft JhengHei" w:hint="eastAsia"/>
          <w:sz w:val="24"/>
        </w:rPr>
        <w:sectPr>
          <w:pgSz w:w="8400" w:h="11910"/>
          <w:pgMar w:top="1100" w:bottom="280" w:left="700" w:right="560"/>
        </w:sectPr>
      </w:pPr>
    </w:p>
    <w:p>
      <w:pPr>
        <w:spacing w:before="67"/>
        <w:ind w:left="266" w:right="404" w:firstLine="0"/>
        <w:jc w:val="center"/>
        <w:rPr>
          <w:b/>
          <w:sz w:val="36"/>
        </w:rPr>
      </w:pPr>
      <w:r>
        <w:rPr>
          <w:b/>
          <w:sz w:val="36"/>
        </w:rPr>
        <w:t>目 录</w:t>
      </w:r>
    </w:p>
    <w:p>
      <w:pPr>
        <w:spacing w:after="0"/>
        <w:jc w:val="center"/>
        <w:rPr>
          <w:sz w:val="36"/>
        </w:rPr>
        <w:sectPr>
          <w:pgSz w:w="8400" w:h="11910"/>
          <w:pgMar w:top="1100" w:bottom="1036" w:left="700" w:right="560"/>
        </w:sectPr>
      </w:pPr>
    </w:p>
    <w:sdt>
      <w:sdtPr>
        <w:docPartObj>
          <w:docPartGallery w:val="Table of Contents"/>
          <w:docPartUnique/>
        </w:docPartObj>
      </w:sdtPr>
      <w:sdtEndPr/>
      <w:sdtContent>
        <w:p>
          <w:pPr>
            <w:pStyle w:val="TOC2"/>
            <w:tabs>
              <w:tab w:pos="920" w:val="left" w:leader="none"/>
              <w:tab w:pos="6663" w:val="right" w:leader="dot"/>
            </w:tabs>
            <w:spacing w:before="626"/>
          </w:pPr>
          <w:hyperlink w:history="true" w:anchor="_bookmark0">
            <w:r>
              <w:rPr/>
              <w:t>前</w:t>
              <w:tab/>
              <w:t>言</w:t>
              <w:tab/>
              <w:t>1</w:t>
            </w:r>
          </w:hyperlink>
        </w:p>
        <w:p>
          <w:pPr>
            <w:pStyle w:val="TOC2"/>
            <w:tabs>
              <w:tab w:pos="6663" w:val="right" w:leader="dot"/>
            </w:tabs>
          </w:pPr>
          <w:hyperlink w:history="true" w:anchor="_bookmark1">
            <w:r>
              <w:rPr/>
              <w:t>一、消防档案规范化</w:t>
              <w:tab/>
              <w:t>2</w:t>
            </w:r>
          </w:hyperlink>
        </w:p>
        <w:p>
          <w:pPr>
            <w:pStyle w:val="TOC4"/>
            <w:tabs>
              <w:tab w:pos="6663" w:val="right" w:leader="dot"/>
            </w:tabs>
            <w:spacing w:before="150"/>
          </w:pPr>
          <w:hyperlink w:history="true" w:anchor="_bookmark2">
            <w:r>
              <w:rPr/>
              <w:t>(一)单位基本情况</w:t>
              <w:tab/>
              <w:t>2</w:t>
            </w:r>
          </w:hyperlink>
        </w:p>
        <w:p>
          <w:pPr>
            <w:pStyle w:val="TOC4"/>
            <w:tabs>
              <w:tab w:pos="6663" w:val="right" w:leader="dot"/>
            </w:tabs>
          </w:pPr>
          <w:hyperlink w:history="true" w:anchor="_bookmark3">
            <w:r>
              <w:rPr/>
              <w:t>(二)消防安全管理情况</w:t>
              <w:tab/>
              <w:t>3</w:t>
            </w:r>
          </w:hyperlink>
        </w:p>
        <w:p>
          <w:pPr>
            <w:pStyle w:val="TOC2"/>
            <w:tabs>
              <w:tab w:pos="6663" w:val="right" w:leader="dot"/>
            </w:tabs>
          </w:pPr>
          <w:hyperlink w:history="true" w:anchor="_bookmark4">
            <w:r>
              <w:rPr/>
              <w:t>二、工作职责明晰化</w:t>
              <w:tab/>
              <w:t>4</w:t>
            </w:r>
          </w:hyperlink>
        </w:p>
        <w:p>
          <w:pPr>
            <w:pStyle w:val="TOC4"/>
            <w:tabs>
              <w:tab w:pos="6663" w:val="right" w:leader="dot"/>
            </w:tabs>
            <w:spacing w:before="151"/>
          </w:pPr>
          <w:hyperlink w:history="true" w:anchor="_bookmark5">
            <w:r>
              <w:rPr/>
              <w:t>(一)单位消防安全职责</w:t>
              <w:tab/>
              <w:t>4</w:t>
            </w:r>
          </w:hyperlink>
        </w:p>
        <w:p>
          <w:pPr>
            <w:pStyle w:val="TOC4"/>
            <w:tabs>
              <w:tab w:pos="6663" w:val="right" w:leader="dot"/>
            </w:tabs>
            <w:spacing w:before="153"/>
          </w:pPr>
          <w:hyperlink w:history="true" w:anchor="_bookmark6">
            <w:r>
              <w:rPr/>
              <w:t>(二)单位消防安全责任人职责</w:t>
              <w:tab/>
              <w:t>5</w:t>
            </w:r>
          </w:hyperlink>
        </w:p>
        <w:p>
          <w:pPr>
            <w:pStyle w:val="TOC4"/>
            <w:tabs>
              <w:tab w:pos="6663" w:val="right" w:leader="dot"/>
            </w:tabs>
            <w:spacing w:before="153"/>
          </w:pPr>
          <w:hyperlink w:history="true" w:anchor="_bookmark7">
            <w:r>
              <w:rPr/>
              <w:t>(三)单位消防安全管理人职责</w:t>
              <w:tab/>
              <w:t>5</w:t>
            </w:r>
          </w:hyperlink>
        </w:p>
        <w:p>
          <w:pPr>
            <w:pStyle w:val="TOC4"/>
            <w:tabs>
              <w:tab w:pos="6663" w:val="right" w:leader="dot"/>
            </w:tabs>
            <w:spacing w:before="151"/>
          </w:pPr>
          <w:hyperlink w:history="true" w:anchor="_bookmark8">
            <w:r>
              <w:rPr/>
              <w:t>(四)部门消防安全责任人职责</w:t>
              <w:tab/>
              <w:t>6</w:t>
            </w:r>
          </w:hyperlink>
        </w:p>
        <w:p>
          <w:pPr>
            <w:pStyle w:val="TOC4"/>
            <w:tabs>
              <w:tab w:pos="6663" w:val="right" w:leader="dot"/>
            </w:tabs>
            <w:spacing w:before="153"/>
          </w:pPr>
          <w:hyperlink w:history="true" w:anchor="_bookmark9">
            <w:r>
              <w:rPr/>
              <w:t>(五)消防控制室值班员职责</w:t>
              <w:tab/>
              <w:t>7</w:t>
            </w:r>
          </w:hyperlink>
        </w:p>
        <w:p>
          <w:pPr>
            <w:pStyle w:val="TOC4"/>
            <w:tabs>
              <w:tab w:pos="6663" w:val="right" w:leader="dot"/>
            </w:tabs>
          </w:pPr>
          <w:hyperlink w:history="true" w:anchor="_bookmark10">
            <w:r>
              <w:rPr/>
              <w:t>(六)消防工作人员职责</w:t>
              <w:tab/>
              <w:t>7</w:t>
            </w:r>
          </w:hyperlink>
        </w:p>
        <w:p>
          <w:pPr>
            <w:pStyle w:val="TOC4"/>
            <w:spacing w:before="151"/>
          </w:pPr>
          <w:hyperlink w:history="true" w:anchor="_bookmark11">
            <w:r>
              <w:rPr/>
              <w:t>(七)电气焊工、电工、易燃易爆化学物品操作人员职责</w:t>
            </w:r>
          </w:hyperlink>
        </w:p>
        <w:p>
          <w:pPr>
            <w:pStyle w:val="TOC5"/>
          </w:pPr>
          <w:hyperlink w:history="true" w:anchor="_bookmark11">
            <w:r>
              <w:rPr/>
              <w:t>...............................................</w:t>
            </w:r>
            <w:r>
              <w:rPr>
                <w:spacing w:val="-78"/>
              </w:rPr>
              <w:t> </w:t>
            </w:r>
            <w:r>
              <w:rPr/>
              <w:t>7</w:t>
            </w:r>
          </w:hyperlink>
        </w:p>
        <w:p>
          <w:pPr>
            <w:pStyle w:val="TOC2"/>
            <w:tabs>
              <w:tab w:pos="6663" w:val="right" w:leader="dot"/>
            </w:tabs>
          </w:pPr>
          <w:hyperlink w:history="true" w:anchor="_bookmark12">
            <w:r>
              <w:rPr/>
              <w:t>三、日常管理制度化</w:t>
              <w:tab/>
              <w:t>8</w:t>
            </w:r>
          </w:hyperlink>
        </w:p>
        <w:p>
          <w:pPr>
            <w:pStyle w:val="TOC4"/>
            <w:tabs>
              <w:tab w:pos="6663" w:val="right" w:leader="dot"/>
            </w:tabs>
            <w:spacing w:before="150"/>
          </w:pPr>
          <w:hyperlink w:history="true" w:anchor="_bookmark13">
            <w:r>
              <w:rPr/>
              <w:t>(一)防火巡查、检査制度</w:t>
              <w:tab/>
              <w:t>8</w:t>
            </w:r>
          </w:hyperlink>
        </w:p>
        <w:p>
          <w:pPr>
            <w:pStyle w:val="TOC4"/>
            <w:tabs>
              <w:tab w:pos="6663" w:val="right" w:leader="dot"/>
            </w:tabs>
          </w:pPr>
          <w:hyperlink w:history="true" w:anchor="_bookmark14">
            <w:r>
              <w:rPr/>
              <w:t>(二)消防宣传与培训制度</w:t>
              <w:tab/>
              <w:t>10</w:t>
            </w:r>
          </w:hyperlink>
        </w:p>
        <w:p>
          <w:pPr>
            <w:pStyle w:val="TOC4"/>
            <w:tabs>
              <w:tab w:pos="6663" w:val="right" w:leader="dot"/>
            </w:tabs>
          </w:pPr>
          <w:hyperlink w:history="true" w:anchor="_bookmark15">
            <w:r>
              <w:rPr/>
              <w:t>(三)用火、动火安全管理制度</w:t>
              <w:tab/>
              <w:t>10</w:t>
            </w:r>
          </w:hyperlink>
        </w:p>
        <w:p>
          <w:pPr>
            <w:pStyle w:val="TOC4"/>
            <w:tabs>
              <w:tab w:pos="6663" w:val="right" w:leader="dot"/>
            </w:tabs>
            <w:spacing w:before="150"/>
          </w:pPr>
          <w:hyperlink w:history="true" w:anchor="_bookmark16">
            <w:r>
              <w:rPr/>
              <w:t>(四)易燃易爆化学物品管理制度</w:t>
              <w:tab/>
              <w:t>11</w:t>
            </w:r>
          </w:hyperlink>
        </w:p>
        <w:p>
          <w:pPr>
            <w:pStyle w:val="TOC4"/>
            <w:tabs>
              <w:tab w:pos="6663" w:val="right" w:leader="dot"/>
            </w:tabs>
            <w:spacing w:after="20"/>
          </w:pPr>
          <w:hyperlink w:history="true" w:anchor="_bookmark17">
            <w:r>
              <w:rPr/>
              <w:t>(五)消防安全重点部位管理制度</w:t>
              <w:tab/>
              <w:t>11</w:t>
            </w:r>
          </w:hyperlink>
        </w:p>
        <w:p>
          <w:pPr>
            <w:pStyle w:val="TOC4"/>
            <w:tabs>
              <w:tab w:pos="6423" w:val="left" w:leader="dot"/>
            </w:tabs>
          </w:pPr>
          <w:hyperlink w:history="true" w:anchor="_bookmark18">
            <w:r>
              <w:rPr/>
              <w:t>(六)制定灭火和应急疏散预案及演练制度</w:t>
              <w:tab/>
              <w:t>12</w:t>
            </w:r>
          </w:hyperlink>
        </w:p>
        <w:p>
          <w:pPr>
            <w:pStyle w:val="TOC4"/>
            <w:tabs>
              <w:tab w:pos="6423" w:val="left" w:leader="dot"/>
            </w:tabs>
            <w:spacing w:before="153"/>
          </w:pPr>
          <w:hyperlink w:history="true" w:anchor="_bookmark19">
            <w:r>
              <w:rPr/>
              <w:t>(七)实施“三自主两公开一承诺”制度</w:t>
              <w:tab/>
              <w:t>14</w:t>
            </w:r>
          </w:hyperlink>
        </w:p>
        <w:p>
          <w:pPr>
            <w:pStyle w:val="TOC2"/>
            <w:tabs>
              <w:tab w:pos="6423" w:val="left" w:leader="dot"/>
            </w:tabs>
            <w:spacing w:before="153"/>
          </w:pPr>
          <w:hyperlink w:history="true" w:anchor="_bookmark20">
            <w:r>
              <w:rPr/>
              <w:t>四、设施器材标识化</w:t>
              <w:tab/>
              <w:t>15</w:t>
            </w:r>
          </w:hyperlink>
        </w:p>
        <w:p>
          <w:pPr>
            <w:pStyle w:val="TOC4"/>
            <w:tabs>
              <w:tab w:pos="6423" w:val="left" w:leader="dot"/>
            </w:tabs>
            <w:spacing w:before="151"/>
          </w:pPr>
          <w:hyperlink w:history="true" w:anchor="_bookmark21">
            <w:r>
              <w:rPr/>
              <w:t>(一)设置要求及示例(供参考)</w:t>
              <w:tab/>
              <w:t>15</w:t>
            </w:r>
          </w:hyperlink>
        </w:p>
        <w:p>
          <w:pPr>
            <w:pStyle w:val="TOC4"/>
            <w:tabs>
              <w:tab w:pos="6423" w:val="left" w:leader="dot"/>
            </w:tabs>
            <w:spacing w:before="153"/>
          </w:pPr>
          <w:hyperlink w:history="true" w:anchor="_bookmark22">
            <w:r>
              <w:rPr/>
              <w:t>(二)各部位上墙制度</w:t>
              <w:tab/>
              <w:t>19</w:t>
            </w:r>
          </w:hyperlink>
        </w:p>
        <w:p>
          <w:pPr>
            <w:pStyle w:val="TOC1"/>
            <w:tabs>
              <w:tab w:pos="6423" w:val="left" w:leader="dot"/>
            </w:tabs>
            <w:spacing w:before="154"/>
            <w:rPr>
              <w:b w:val="0"/>
            </w:rPr>
          </w:pPr>
          <w:hyperlink w:history="true" w:anchor="_bookmark23">
            <w:r>
              <w:rPr/>
              <w:t>附件一：市消防安全重点单位消防档案样表</w:t>
              <w:tab/>
            </w:r>
            <w:r>
              <w:rPr>
                <w:b w:val="0"/>
              </w:rPr>
              <w:t>25</w:t>
            </w:r>
          </w:hyperlink>
        </w:p>
        <w:p>
          <w:pPr>
            <w:pStyle w:val="TOC1"/>
            <w:tabs>
              <w:tab w:pos="6423" w:val="left" w:leader="dot"/>
            </w:tabs>
            <w:spacing w:before="151"/>
            <w:rPr>
              <w:b w:val="0"/>
            </w:rPr>
          </w:pPr>
          <w:hyperlink w:history="true" w:anchor="_bookmark24">
            <w:r>
              <w:rPr/>
              <w:t>附件二：建筑消防设施重点部位防火巡查日记录本</w:t>
              <w:tab/>
            </w:r>
            <w:r>
              <w:rPr>
                <w:b w:val="0"/>
              </w:rPr>
              <w:t>54</w:t>
            </w:r>
          </w:hyperlink>
        </w:p>
        <w:p>
          <w:pPr>
            <w:pStyle w:val="TOC1"/>
            <w:tabs>
              <w:tab w:pos="6423" w:val="left" w:leader="dot"/>
            </w:tabs>
            <w:spacing w:before="154"/>
            <w:rPr>
              <w:b w:val="0"/>
            </w:rPr>
          </w:pPr>
          <w:hyperlink w:history="true" w:anchor="_bookmark25">
            <w:r>
              <w:rPr/>
              <w:t>附件三：消防控制室值班微型消防站值班日记录本</w:t>
              <w:tab/>
            </w:r>
            <w:r>
              <w:rPr>
                <w:b w:val="0"/>
              </w:rPr>
              <w:t>65</w:t>
            </w:r>
          </w:hyperlink>
        </w:p>
        <w:p>
          <w:pPr>
            <w:pStyle w:val="TOC1"/>
            <w:tabs>
              <w:tab w:pos="6423" w:val="left" w:leader="dot"/>
            </w:tabs>
            <w:rPr>
              <w:b w:val="0"/>
            </w:rPr>
          </w:pPr>
          <w:hyperlink w:history="true" w:anchor="_bookmark26">
            <w:r>
              <w:rPr/>
              <w:t>附件四：消防安全管理工作时间节点对照表</w:t>
              <w:tab/>
            </w:r>
            <w:r>
              <w:rPr>
                <w:b w:val="0"/>
              </w:rPr>
              <w:t>71</w:t>
            </w:r>
          </w:hyperlink>
        </w:p>
        <w:p>
          <w:pPr>
            <w:pStyle w:val="TOC1"/>
            <w:tabs>
              <w:tab w:pos="6423" w:val="left" w:leader="dot"/>
            </w:tabs>
            <w:spacing w:before="151"/>
            <w:rPr>
              <w:b w:val="0"/>
            </w:rPr>
          </w:pPr>
          <w:hyperlink w:history="true" w:anchor="_bookmark27">
            <w:r>
              <w:rPr/>
              <w:t>附件五：《中华人民共和国消防法》</w:t>
              <w:tab/>
            </w:r>
            <w:r>
              <w:rPr>
                <w:b w:val="0"/>
              </w:rPr>
              <w:t>72</w:t>
            </w:r>
          </w:hyperlink>
        </w:p>
        <w:p>
          <w:pPr>
            <w:pStyle w:val="TOC1"/>
            <w:tabs>
              <w:tab w:pos="6423" w:val="left" w:leader="dot"/>
            </w:tabs>
            <w:rPr>
              <w:b w:val="0"/>
            </w:rPr>
          </w:pPr>
          <w:hyperlink w:history="true" w:anchor="_bookmark28">
            <w:r>
              <w:rPr/>
              <w:t>附件六：《消防安全责任制实施办法》</w:t>
              <w:tab/>
            </w:r>
            <w:r>
              <w:rPr>
                <w:b w:val="0"/>
              </w:rPr>
              <w:t>95</w:t>
            </w:r>
          </w:hyperlink>
        </w:p>
        <w:p>
          <w:pPr>
            <w:pStyle w:val="TOC1"/>
          </w:pPr>
          <w:hyperlink w:history="true" w:anchor="_bookmark29">
            <w:r>
              <w:rPr/>
              <w:t>附件七：《机关、团体、企业、事业单位消防安全管理规定》</w:t>
            </w:r>
          </w:hyperlink>
        </w:p>
        <w:p>
          <w:pPr>
            <w:pStyle w:val="TOC3"/>
          </w:pPr>
          <w:hyperlink w:history="true" w:anchor="_bookmark29">
            <w:r>
              <w:rPr/>
              <w:t>.................................................</w:t>
            </w:r>
            <w:r>
              <w:rPr>
                <w:spacing w:val="-79"/>
              </w:rPr>
              <w:t> </w:t>
            </w:r>
            <w:r>
              <w:rPr/>
              <w:t>111</w:t>
            </w:r>
          </w:hyperlink>
        </w:p>
        <w:p>
          <w:pPr>
            <w:pStyle w:val="TOC1"/>
            <w:tabs>
              <w:tab w:pos="6303" w:val="left" w:leader="dot"/>
            </w:tabs>
            <w:spacing w:line="360" w:lineRule="auto"/>
            <w:ind w:left="1311" w:right="467" w:hanging="992"/>
            <w:rPr>
              <w:b w:val="0"/>
            </w:rPr>
          </w:pPr>
          <w:hyperlink w:history="true" w:anchor="_bookmark30">
            <w:r>
              <w:rPr/>
              <w:t>附件八：湖南省公安厅关于印发《湖南省消防安全重点单位</w:t>
            </w:r>
          </w:hyperlink>
          <w:hyperlink w:history="true" w:anchor="_bookmark30">
            <w:r>
              <w:rPr/>
              <w:t>界定标准》的通知</w:t>
              <w:tab/>
            </w:r>
            <w:r>
              <w:rPr>
                <w:b w:val="0"/>
                <w:spacing w:val="-6"/>
              </w:rPr>
              <w:t>127</w:t>
            </w:r>
          </w:hyperlink>
        </w:p>
        <w:p>
          <w:pPr>
            <w:pStyle w:val="TOC1"/>
            <w:tabs>
              <w:tab w:pos="6303" w:val="left" w:leader="dot"/>
            </w:tabs>
            <w:spacing w:line="360" w:lineRule="auto" w:before="0"/>
            <w:ind w:left="1280" w:right="467" w:hanging="960"/>
            <w:rPr>
              <w:b w:val="0"/>
            </w:rPr>
          </w:pPr>
          <w:hyperlink w:history="true" w:anchor="_bookmark31">
            <w:r>
              <w:rPr/>
              <w:t>附件九：湖南省人民政府办公厅关于印发《湖南省火灾高危</w:t>
            </w:r>
          </w:hyperlink>
          <w:hyperlink w:history="true" w:anchor="_bookmark31">
            <w:r>
              <w:rPr/>
              <w:t>单位消防安全管理规定》的通知</w:t>
              <w:tab/>
            </w:r>
            <w:r>
              <w:rPr>
                <w:b w:val="0"/>
                <w:spacing w:val="-6"/>
              </w:rPr>
              <w:t>133</w:t>
            </w:r>
          </w:hyperlink>
        </w:p>
        <w:p>
          <w:pPr>
            <w:pStyle w:val="TOC1"/>
            <w:tabs>
              <w:tab w:pos="6303" w:val="left" w:leader="dot"/>
            </w:tabs>
            <w:spacing w:line="307" w:lineRule="exact" w:before="0"/>
            <w:rPr>
              <w:b w:val="0"/>
            </w:rPr>
          </w:pPr>
          <w:hyperlink w:history="true" w:anchor="_bookmark32">
            <w:r>
              <w:rPr/>
              <w:t>附件十：消防安全重点单位微型消防站建设标准</w:t>
              <w:tab/>
            </w:r>
            <w:r>
              <w:rPr>
                <w:b w:val="0"/>
              </w:rPr>
              <w:t>145</w:t>
            </w:r>
          </w:hyperlink>
        </w:p>
        <w:p>
          <w:pPr>
            <w:pStyle w:val="TOC1"/>
            <w:tabs>
              <w:tab w:pos="6303" w:val="left" w:leader="dot"/>
            </w:tabs>
            <w:spacing w:before="148"/>
            <w:rPr>
              <w:b w:val="0"/>
            </w:rPr>
          </w:pPr>
          <w:hyperlink w:history="true" w:anchor="_bookmark33">
            <w:r>
              <w:rPr/>
              <w:t>附件十一：消防安全信息公示牌填写说明</w:t>
              <w:tab/>
            </w:r>
            <w:r>
              <w:rPr>
                <w:b w:val="0"/>
              </w:rPr>
              <w:t>148</w:t>
            </w:r>
          </w:hyperlink>
        </w:p>
      </w:sdtContent>
    </w:sdt>
    <w:p>
      <w:pPr>
        <w:spacing w:after="0"/>
        <w:sectPr>
          <w:type w:val="continuous"/>
          <w:pgSz w:w="8400" w:h="11910"/>
          <w:pgMar w:top="1110" w:bottom="1036" w:left="700" w:right="560"/>
        </w:sectPr>
      </w:pPr>
    </w:p>
    <w:p>
      <w:pPr>
        <w:pStyle w:val="BodyText"/>
        <w:ind w:left="0"/>
        <w:rPr>
          <w:rFonts w:ascii="宋体"/>
          <w:sz w:val="20"/>
        </w:rPr>
      </w:pPr>
    </w:p>
    <w:p>
      <w:pPr>
        <w:pStyle w:val="BodyText"/>
        <w:spacing w:before="3" w:after="1"/>
        <w:ind w:left="0"/>
        <w:rPr>
          <w:rFonts w:ascii="宋体"/>
          <w:sz w:val="26"/>
        </w:rPr>
      </w:pPr>
    </w:p>
    <w:p>
      <w:pPr>
        <w:spacing w:line="240" w:lineRule="auto"/>
        <w:ind w:left="2862" w:right="0" w:firstLine="0"/>
        <w:rPr>
          <w:rFonts w:ascii="宋体"/>
          <w:sz w:val="20"/>
        </w:rPr>
      </w:pPr>
      <w:r>
        <w:rPr>
          <w:rFonts w:ascii="宋体"/>
          <w:sz w:val="20"/>
        </w:rPr>
        <w:drawing>
          <wp:inline distT="0" distB="0" distL="0" distR="0">
            <wp:extent cx="460247" cy="272796"/>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460247" cy="272796"/>
                    </a:xfrm>
                    <a:prstGeom prst="rect">
                      <a:avLst/>
                    </a:prstGeom>
                  </pic:spPr>
                </pic:pic>
              </a:graphicData>
            </a:graphic>
          </wp:inline>
        </w:drawing>
      </w:r>
      <w:r>
        <w:rPr>
          <w:rFonts w:ascii="宋体"/>
          <w:sz w:val="20"/>
        </w:rPr>
      </w:r>
      <w:r>
        <w:rPr>
          <w:rFonts w:ascii="Times New Roman"/>
          <w:spacing w:val="130"/>
          <w:sz w:val="20"/>
        </w:rPr>
        <w:t> </w:t>
      </w:r>
      <w:r>
        <w:rPr>
          <w:rFonts w:ascii="宋体"/>
          <w:spacing w:val="130"/>
          <w:sz w:val="20"/>
        </w:rPr>
        <w:drawing>
          <wp:inline distT="0" distB="0" distL="0" distR="0">
            <wp:extent cx="457200" cy="27279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457200" cy="272796"/>
                    </a:xfrm>
                    <a:prstGeom prst="rect">
                      <a:avLst/>
                    </a:prstGeom>
                  </pic:spPr>
                </pic:pic>
              </a:graphicData>
            </a:graphic>
          </wp:inline>
        </w:drawing>
      </w:r>
      <w:r>
        <w:rPr>
          <w:rFonts w:ascii="宋体"/>
          <w:spacing w:val="130"/>
          <w:sz w:val="20"/>
        </w:rPr>
      </w:r>
    </w:p>
    <w:p>
      <w:pPr>
        <w:pStyle w:val="BodyText"/>
        <w:ind w:left="0"/>
        <w:rPr>
          <w:rFonts w:ascii="宋体"/>
        </w:rPr>
      </w:pPr>
    </w:p>
    <w:p>
      <w:pPr>
        <w:pStyle w:val="BodyText"/>
        <w:spacing w:before="12"/>
        <w:ind w:left="0"/>
        <w:rPr>
          <w:rFonts w:ascii="宋体"/>
          <w:sz w:val="22"/>
        </w:rPr>
      </w:pPr>
    </w:p>
    <w:p>
      <w:pPr>
        <w:pStyle w:val="BodyText"/>
        <w:spacing w:line="374" w:lineRule="auto"/>
        <w:ind w:left="320" w:right="453" w:firstLine="480"/>
        <w:jc w:val="both"/>
      </w:pPr>
      <w:bookmarkStart w:name="_bookmark0" w:id="1"/>
      <w:bookmarkEnd w:id="1"/>
      <w:r>
        <w:rPr/>
      </w:r>
      <w:r>
        <w:rPr/>
        <w:t>随着依法治国进程的不断深入，各消防安全重点单位应进一步依据《中华人民共和国消防法》、《消防安全责任制实施办法》、《机关、团体、企业、事业单位消防安全管理规定》等法律法规全面落实单位的主体责任。为指导消防安全重点单位开展消防安全标准化管理工作，特制作了此手册供各消防安全重点单位参考，各重点单位要完善单位消防安全制度职责、标识标牌、消防档案、各类记录表格等有关消防工作内容。</w:t>
      </w:r>
    </w:p>
    <w:p>
      <w:pPr>
        <w:spacing w:after="0" w:line="374" w:lineRule="auto"/>
        <w:jc w:val="both"/>
        <w:sectPr>
          <w:footerReference w:type="default" r:id="rId5"/>
          <w:footerReference w:type="even" r:id="rId6"/>
          <w:pgSz w:w="8400" w:h="11910"/>
          <w:pgMar w:footer="875" w:header="0" w:top="1100" w:bottom="1060" w:left="700" w:right="560"/>
          <w:pgNumType w:start="1"/>
        </w:sectPr>
      </w:pPr>
    </w:p>
    <w:p>
      <w:pPr>
        <w:pStyle w:val="BodyText"/>
        <w:ind w:left="0"/>
        <w:rPr>
          <w:sz w:val="6"/>
        </w:rPr>
      </w:pPr>
    </w:p>
    <w:p>
      <w:pPr>
        <w:pStyle w:val="BodyText"/>
        <w:ind w:left="2049"/>
        <w:rPr>
          <w:sz w:val="20"/>
        </w:rPr>
      </w:pPr>
      <w:r>
        <w:rPr>
          <w:sz w:val="20"/>
        </w:rPr>
        <w:drawing>
          <wp:inline distT="0" distB="0" distL="0" distR="0">
            <wp:extent cx="2041143" cy="240792"/>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2041143" cy="240792"/>
                    </a:xfrm>
                    <a:prstGeom prst="rect">
                      <a:avLst/>
                    </a:prstGeom>
                  </pic:spPr>
                </pic:pic>
              </a:graphicData>
            </a:graphic>
          </wp:inline>
        </w:drawing>
      </w:r>
      <w:r>
        <w:rPr>
          <w:sz w:val="20"/>
        </w:rPr>
      </w:r>
    </w:p>
    <w:p>
      <w:pPr>
        <w:pStyle w:val="BodyText"/>
        <w:ind w:left="0"/>
        <w:rPr>
          <w:sz w:val="20"/>
        </w:rPr>
      </w:pPr>
    </w:p>
    <w:p>
      <w:pPr>
        <w:pStyle w:val="BodyText"/>
        <w:spacing w:before="4"/>
        <w:ind w:left="0"/>
        <w:rPr>
          <w:sz w:val="18"/>
        </w:rPr>
      </w:pPr>
    </w:p>
    <w:p>
      <w:pPr>
        <w:pStyle w:val="BodyText"/>
        <w:ind w:left="800"/>
      </w:pPr>
      <w:bookmarkStart w:name="_bookmark1" w:id="2"/>
      <w:bookmarkEnd w:id="2"/>
      <w:r>
        <w:rPr/>
      </w:r>
      <w:r>
        <w:rPr/>
        <w:t>消防档案应包括以下内容(由单位集中存放管理)：</w:t>
      </w:r>
    </w:p>
    <w:p>
      <w:pPr>
        <w:pStyle w:val="Heading3"/>
        <w:spacing w:before="214"/>
        <w:rPr>
          <w:rFonts w:ascii="黑体" w:eastAsia="黑体" w:hint="eastAsia"/>
        </w:rPr>
      </w:pPr>
      <w:bookmarkStart w:name="_bookmark2" w:id="3"/>
      <w:bookmarkEnd w:id="3"/>
      <w:r>
        <w:rPr>
          <w:b w:val="0"/>
        </w:rPr>
      </w:r>
      <w:r>
        <w:rPr>
          <w:rFonts w:ascii="黑体" w:eastAsia="黑体" w:hint="eastAsia"/>
        </w:rPr>
        <w:t>(一)单位基本情况</w:t>
      </w:r>
    </w:p>
    <w:p>
      <w:pPr>
        <w:pStyle w:val="BodyText"/>
        <w:spacing w:before="211"/>
        <w:ind w:left="800"/>
      </w:pPr>
      <w:r>
        <w:rPr/>
        <w:t>1、单位基本概况和消防安全重点部位情况；</w:t>
      </w:r>
    </w:p>
    <w:p>
      <w:pPr>
        <w:pStyle w:val="BodyText"/>
        <w:spacing w:line="312" w:lineRule="auto" w:before="93"/>
        <w:ind w:left="320" w:right="458" w:firstLine="480"/>
        <w:jc w:val="both"/>
      </w:pPr>
      <w:r>
        <w:rPr>
          <w:spacing w:val="-3"/>
        </w:rPr>
        <w:t>2</w:t>
      </w:r>
      <w:r>
        <w:rPr>
          <w:spacing w:val="-4"/>
        </w:rPr>
        <w:t>、单位的工商营业执照、组织机构代码证、消防行政许</w:t>
      </w:r>
      <w:r>
        <w:rPr>
          <w:spacing w:val="-6"/>
        </w:rPr>
        <w:t>可文书、法定代表人身份证(建议为原件 </w:t>
      </w:r>
      <w:r>
        <w:rPr/>
        <w:t>1:1</w:t>
      </w:r>
      <w:r>
        <w:rPr>
          <w:spacing w:val="-12"/>
        </w:rPr>
        <w:t> 复印件，原件可</w:t>
      </w:r>
      <w:r>
        <w:rPr/>
        <w:t>由单位集中存档，避免丢失)；</w:t>
      </w:r>
    </w:p>
    <w:p>
      <w:pPr>
        <w:pStyle w:val="BodyText"/>
        <w:spacing w:line="312" w:lineRule="auto" w:before="1"/>
        <w:ind w:left="320" w:right="455" w:firstLine="480"/>
        <w:jc w:val="both"/>
      </w:pPr>
      <w:r>
        <w:rPr/>
        <w:t>3、同一建筑物由两个以上单位管理或者使用的，应当由建筑物管理单位牵头组织相关单位签订消防安全管理协议或消防安全年度责任状，明确各方的消防安全责任，并确定责任人对共用的疏散通道、安全出口、建筑消防设施和消防车通道进行统一管理(涉及产权单位负责内容的，也应明确产权单位职责)。</w:t>
      </w:r>
    </w:p>
    <w:p>
      <w:pPr>
        <w:pStyle w:val="BodyText"/>
        <w:spacing w:line="312" w:lineRule="auto" w:before="2"/>
        <w:ind w:left="320" w:right="400" w:firstLine="480"/>
        <w:jc w:val="right"/>
      </w:pPr>
      <w:r>
        <w:rPr>
          <w:spacing w:val="-34"/>
        </w:rPr>
        <w:t>4</w:t>
      </w:r>
      <w:r>
        <w:rPr>
          <w:spacing w:val="-10"/>
        </w:rPr>
        <w:t>、单位消防组织机构及职责分工：单位应以文件形式(发文或会议记录)建立消防组织机构，明确消防安全责任人、管</w:t>
      </w:r>
      <w:r>
        <w:rPr/>
        <w:t>理人、消防安全“明白人”以及消防专干，并在消防救援机构备案，单位内部各部门的消防工作职责分工明确到人。应</w:t>
      </w:r>
      <w:r>
        <w:rPr>
          <w:spacing w:val="-6"/>
        </w:rPr>
        <w:t>将消防工作纳入到业绩或绩效考评，建立切实可行奖惩制度。</w:t>
      </w:r>
      <w:r>
        <w:rPr>
          <w:spacing w:val="-5"/>
        </w:rPr>
        <w:t>5</w:t>
      </w:r>
      <w:r>
        <w:rPr>
          <w:spacing w:val="-2"/>
        </w:rPr>
        <w:t>、单位应制定符合单位实际的消防安全管理制度和灭火</w:t>
      </w:r>
    </w:p>
    <w:p>
      <w:pPr>
        <w:pStyle w:val="BodyText"/>
        <w:spacing w:line="312" w:lineRule="auto" w:before="2"/>
        <w:ind w:left="320" w:right="448"/>
        <w:jc w:val="both"/>
      </w:pPr>
      <w:r>
        <w:rPr/>
        <w:t>疏散预案，相关制度应在相应部位上墙(模板见附件)。有清晰的平面图和消防设施、灭火器材明细表(相关资料纸质档应打印存档，并全部按照模板制作悬挂上墙)。</w:t>
      </w:r>
    </w:p>
    <w:p>
      <w:pPr>
        <w:spacing w:after="0" w:line="312" w:lineRule="auto"/>
        <w:jc w:val="both"/>
        <w:sectPr>
          <w:pgSz w:w="8400" w:h="11910"/>
          <w:pgMar w:header="0" w:footer="834" w:top="1100" w:bottom="1020" w:left="700" w:right="560"/>
        </w:sectPr>
      </w:pPr>
    </w:p>
    <w:p>
      <w:pPr>
        <w:pStyle w:val="BodyText"/>
        <w:spacing w:line="312" w:lineRule="auto" w:before="108"/>
        <w:ind w:left="320" w:right="458" w:firstLine="480"/>
      </w:pPr>
      <w:r>
        <w:rPr/>
        <w:t>6、义务消防队人员(微型消防站人员)花名册、分工及其消防装备配备情况;</w:t>
      </w:r>
    </w:p>
    <w:p>
      <w:pPr>
        <w:pStyle w:val="BodyText"/>
        <w:spacing w:line="307" w:lineRule="exact"/>
        <w:ind w:left="800"/>
      </w:pPr>
      <w:r>
        <w:rPr/>
        <w:t>7、消防安全管理相关的重点工种人员情况；</w:t>
      </w:r>
    </w:p>
    <w:p>
      <w:pPr>
        <w:pStyle w:val="BodyText"/>
        <w:spacing w:before="93"/>
        <w:ind w:left="800"/>
      </w:pPr>
      <w:r>
        <w:rPr/>
        <w:t>8、消防产品、防火材料的合格证明材料；</w:t>
      </w:r>
    </w:p>
    <w:p>
      <w:pPr>
        <w:pStyle w:val="BodyText"/>
        <w:spacing w:line="312" w:lineRule="auto" w:before="94"/>
        <w:ind w:left="320" w:right="459" w:firstLine="480"/>
      </w:pPr>
      <w:r>
        <w:rPr/>
        <w:t>9、积极主动对接、配合辖区消防救援站的“六熟悉”和灭火预案制定工作。</w:t>
      </w:r>
    </w:p>
    <w:p>
      <w:pPr>
        <w:pStyle w:val="Heading3"/>
        <w:spacing w:before="119"/>
        <w:rPr>
          <w:rFonts w:ascii="黑体" w:eastAsia="黑体" w:hint="eastAsia"/>
        </w:rPr>
      </w:pPr>
      <w:bookmarkStart w:name="_bookmark3" w:id="4"/>
      <w:bookmarkEnd w:id="4"/>
      <w:r>
        <w:rPr>
          <w:b w:val="0"/>
        </w:rPr>
      </w:r>
      <w:r>
        <w:rPr>
          <w:rFonts w:ascii="黑体" w:eastAsia="黑体" w:hint="eastAsia"/>
        </w:rPr>
        <w:t>(二)消防安全管理情况</w:t>
      </w:r>
    </w:p>
    <w:p>
      <w:pPr>
        <w:pStyle w:val="BodyText"/>
        <w:spacing w:before="214"/>
        <w:ind w:left="800"/>
      </w:pPr>
      <w:r>
        <w:rPr/>
        <w:t>1、单位年度消防工作计划；</w:t>
      </w:r>
    </w:p>
    <w:p>
      <w:pPr>
        <w:pStyle w:val="BodyText"/>
        <w:spacing w:before="91"/>
        <w:ind w:left="776"/>
      </w:pPr>
      <w:r>
        <w:rPr>
          <w:spacing w:val="-32"/>
          <w:w w:val="105"/>
        </w:rPr>
        <w:t>2</w:t>
      </w:r>
      <w:r>
        <w:rPr>
          <w:spacing w:val="-18"/>
          <w:w w:val="105"/>
        </w:rPr>
        <w:t>、消防工作会议的会议记录、会议纪要等工作安排部署；</w:t>
      </w:r>
    </w:p>
    <w:p>
      <w:pPr>
        <w:pStyle w:val="BodyText"/>
        <w:spacing w:before="93"/>
        <w:ind w:left="800"/>
      </w:pPr>
      <w:r>
        <w:rPr/>
        <w:t>3、消防机构下发的各种法律文书、公文；</w:t>
      </w:r>
    </w:p>
    <w:p>
      <w:pPr>
        <w:pStyle w:val="BodyText"/>
        <w:spacing w:line="312" w:lineRule="auto" w:before="94"/>
        <w:ind w:left="320" w:right="459" w:firstLine="480"/>
      </w:pPr>
      <w:r>
        <w:rPr/>
        <w:t>4、消防设施定期检查记录、自动消防设施全面检查测试的报告以及维修保养的记录(合同)；</w:t>
      </w:r>
    </w:p>
    <w:p>
      <w:pPr>
        <w:pStyle w:val="BodyText"/>
        <w:spacing w:line="307" w:lineRule="exact"/>
        <w:ind w:left="800"/>
      </w:pPr>
      <w:r>
        <w:rPr/>
        <w:t>5、单位自查自改的火灾隐患及其整改情况记录；</w:t>
      </w:r>
    </w:p>
    <w:p>
      <w:pPr>
        <w:pStyle w:val="BodyText"/>
        <w:spacing w:before="93"/>
        <w:ind w:left="800"/>
      </w:pPr>
      <w:r>
        <w:rPr/>
        <w:t>6、单位每日防火巡查、每月防火检查记录；</w:t>
      </w:r>
    </w:p>
    <w:p>
      <w:pPr>
        <w:pStyle w:val="BodyText"/>
        <w:spacing w:line="312" w:lineRule="auto" w:before="91"/>
        <w:ind w:left="320" w:right="459" w:firstLine="480"/>
      </w:pPr>
      <w:r>
        <w:rPr/>
        <w:t>7、单位有关燃气、电气设备维保检测(包括防雷、防静电)等记录资料；</w:t>
      </w:r>
    </w:p>
    <w:p>
      <w:pPr>
        <w:pStyle w:val="BodyText"/>
        <w:spacing w:before="2"/>
        <w:ind w:left="800"/>
      </w:pPr>
      <w:r>
        <w:rPr/>
        <w:t>8、单位的消防安全培训记录；</w:t>
      </w:r>
    </w:p>
    <w:p>
      <w:pPr>
        <w:pStyle w:val="BodyText"/>
        <w:spacing w:before="91"/>
        <w:ind w:left="800"/>
      </w:pPr>
      <w:r>
        <w:rPr/>
        <w:t>9、灭火和应急疏散预案的演练记录；</w:t>
      </w:r>
    </w:p>
    <w:p>
      <w:pPr>
        <w:pStyle w:val="BodyText"/>
        <w:spacing w:before="94"/>
        <w:ind w:left="800"/>
      </w:pPr>
      <w:r>
        <w:rPr/>
        <w:t>10、火灾情况记录；</w:t>
      </w:r>
    </w:p>
    <w:p>
      <w:pPr>
        <w:pStyle w:val="BodyText"/>
        <w:spacing w:before="93"/>
        <w:ind w:left="800"/>
      </w:pPr>
      <w:r>
        <w:rPr/>
        <w:t>11、消防奖惩情况记录；</w:t>
      </w:r>
    </w:p>
    <w:p>
      <w:pPr>
        <w:pStyle w:val="BodyText"/>
        <w:spacing w:line="312" w:lineRule="auto" w:before="91"/>
        <w:ind w:left="320" w:right="455" w:firstLine="480"/>
        <w:jc w:val="both"/>
      </w:pPr>
      <w:r>
        <w:rPr>
          <w:spacing w:val="-31"/>
        </w:rPr>
        <w:t>第 </w:t>
      </w:r>
      <w:r>
        <w:rPr/>
        <w:t>2、3、</w:t>
      </w:r>
      <w:r>
        <w:rPr>
          <w:spacing w:val="-3"/>
        </w:rPr>
        <w:t>4</w:t>
      </w:r>
      <w:r>
        <w:rPr/>
        <w:t>、5</w:t>
      </w:r>
      <w:r>
        <w:rPr>
          <w:spacing w:val="-9"/>
        </w:rPr>
        <w:t> 项记录，应当记明检查的人员、时间、部</w:t>
      </w:r>
      <w:r>
        <w:rPr>
          <w:spacing w:val="-1"/>
        </w:rPr>
        <w:t>位、内容、发现的火灾隐患以及处理措施等；第 </w:t>
      </w:r>
      <w:r>
        <w:rPr/>
        <w:t>6</w:t>
      </w:r>
      <w:r>
        <w:rPr>
          <w:spacing w:val="-5"/>
        </w:rPr>
        <w:t> 项应每半</w:t>
      </w:r>
      <w:r>
        <w:rPr/>
        <w:t>年不少于一次，人员变动频繁的需不定期开展新进员工培训</w:t>
      </w:r>
    </w:p>
    <w:p>
      <w:pPr>
        <w:spacing w:after="0" w:line="312" w:lineRule="auto"/>
        <w:jc w:val="both"/>
        <w:sectPr>
          <w:pgSz w:w="8400" w:h="11910"/>
          <w:pgMar w:header="0" w:footer="875" w:top="1100" w:bottom="1060" w:left="700" w:right="560"/>
        </w:sectPr>
      </w:pPr>
    </w:p>
    <w:p>
      <w:pPr>
        <w:pStyle w:val="BodyText"/>
        <w:spacing w:line="312" w:lineRule="auto" w:before="108"/>
        <w:ind w:left="320" w:right="455"/>
        <w:jc w:val="both"/>
      </w:pPr>
      <w:r>
        <w:rPr/>
        <w:t>记录，应含课件、签到册、培训照片等；第 7 项记录，应每半年不少于一次全面演练，可不定期开展专项演练，应含实施方案、签到册、演练照片等。</w:t>
      </w:r>
    </w:p>
    <w:p>
      <w:pPr>
        <w:pStyle w:val="BodyText"/>
        <w:spacing w:before="11"/>
        <w:ind w:left="0"/>
        <w:rPr>
          <w:sz w:val="25"/>
        </w:rPr>
      </w:pPr>
      <w:r>
        <w:rPr/>
        <w:drawing>
          <wp:anchor distT="0" distB="0" distL="0" distR="0" allowOverlap="1" layoutInCell="1" locked="0" behindDoc="0" simplePos="0" relativeHeight="0">
            <wp:simplePos x="0" y="0"/>
            <wp:positionH relativeFrom="page">
              <wp:posOffset>1745614</wp:posOffset>
            </wp:positionH>
            <wp:positionV relativeFrom="paragraph">
              <wp:posOffset>235426</wp:posOffset>
            </wp:positionV>
            <wp:extent cx="2041144" cy="240791"/>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2041144" cy="240791"/>
                    </a:xfrm>
                    <a:prstGeom prst="rect">
                      <a:avLst/>
                    </a:prstGeom>
                  </pic:spPr>
                </pic:pic>
              </a:graphicData>
            </a:graphic>
          </wp:anchor>
        </w:drawing>
      </w:r>
    </w:p>
    <w:p>
      <w:pPr>
        <w:pStyle w:val="BodyText"/>
        <w:ind w:left="0"/>
        <w:rPr>
          <w:sz w:val="20"/>
        </w:rPr>
      </w:pPr>
    </w:p>
    <w:p>
      <w:pPr>
        <w:pStyle w:val="BodyText"/>
        <w:spacing w:before="8"/>
        <w:ind w:left="0"/>
        <w:rPr>
          <w:sz w:val="18"/>
        </w:rPr>
      </w:pPr>
    </w:p>
    <w:p>
      <w:pPr>
        <w:pStyle w:val="Heading3"/>
        <w:spacing w:before="66"/>
        <w:rPr>
          <w:rFonts w:ascii="黑体" w:eastAsia="黑体" w:hint="eastAsia"/>
        </w:rPr>
      </w:pPr>
      <w:bookmarkStart w:name="_bookmark4" w:id="5"/>
      <w:bookmarkEnd w:id="5"/>
      <w:r>
        <w:rPr>
          <w:b w:val="0"/>
        </w:rPr>
      </w:r>
      <w:bookmarkStart w:name="_bookmark5" w:id="6"/>
      <w:bookmarkEnd w:id="6"/>
      <w:r>
        <w:rPr>
          <w:b w:val="0"/>
        </w:rPr>
      </w:r>
      <w:r>
        <w:rPr>
          <w:rFonts w:ascii="黑体" w:eastAsia="黑体" w:hint="eastAsia"/>
        </w:rPr>
        <w:t>(一)单位消防安全职责</w:t>
      </w:r>
    </w:p>
    <w:p>
      <w:pPr>
        <w:pStyle w:val="BodyText"/>
        <w:spacing w:line="312" w:lineRule="auto" w:before="214"/>
        <w:ind w:left="320" w:right="450" w:firstLine="480"/>
      </w:pPr>
      <w:r>
        <w:rPr/>
        <w:t>1、落实消防安全责任制，制定本单位的消防安全制度、消防安全操作规程，制定灭火和应急疏散预案；</w:t>
      </w:r>
    </w:p>
    <w:p>
      <w:pPr>
        <w:pStyle w:val="BodyText"/>
        <w:spacing w:line="312" w:lineRule="auto"/>
        <w:ind w:left="320" w:right="421" w:firstLine="480"/>
      </w:pPr>
      <w:r>
        <w:rPr/>
        <w:t>2、按照国家规范、行业标准配置消防设施、器材，设置消防安全标志，并定期组织检验、维修，确保完好有效；</w:t>
      </w:r>
    </w:p>
    <w:p>
      <w:pPr>
        <w:pStyle w:val="BodyText"/>
        <w:spacing w:line="312" w:lineRule="auto" w:before="2"/>
        <w:ind w:left="320" w:right="453" w:firstLine="480"/>
        <w:jc w:val="both"/>
      </w:pPr>
      <w:r>
        <w:rPr/>
        <w:t>3、建筑消防设施管理单位每年应组织具有资质的第三方检测机构对建筑消防设施进行至少一次全面检测并出具报告书，检测范围应包含建筑内全部消防设施设备，检测报告书存档备查；</w:t>
      </w:r>
    </w:p>
    <w:p>
      <w:pPr>
        <w:pStyle w:val="BodyText"/>
        <w:spacing w:line="312" w:lineRule="auto"/>
        <w:ind w:left="320" w:right="455" w:firstLine="480"/>
        <w:jc w:val="both"/>
      </w:pPr>
      <w:r>
        <w:rPr/>
        <w:t>4、确保疏散通道、安全出口、消防车通道畅通，并按要求进行消防车通道规范化管理，保证防火防烟分区、防火间距符合消防技术标准；</w:t>
      </w:r>
    </w:p>
    <w:p>
      <w:pPr>
        <w:pStyle w:val="BodyText"/>
        <w:ind w:left="800"/>
      </w:pPr>
      <w:r>
        <w:rPr/>
        <w:t>5、组织防火检查，及时消除火灾隐患；</w:t>
      </w:r>
    </w:p>
    <w:p>
      <w:pPr>
        <w:pStyle w:val="BodyText"/>
        <w:spacing w:before="94"/>
        <w:ind w:left="800"/>
      </w:pPr>
      <w:r>
        <w:rPr/>
        <w:t>6、组织进行有针对性的消防演练；</w:t>
      </w:r>
    </w:p>
    <w:p>
      <w:pPr>
        <w:pStyle w:val="BodyText"/>
        <w:spacing w:line="312" w:lineRule="auto" w:before="94"/>
        <w:ind w:left="320" w:right="459" w:firstLine="480"/>
      </w:pPr>
      <w:r>
        <w:rPr/>
        <w:t>7、确定消防安全管理人，组织实施本单位的消防安全管理工作；</w:t>
      </w:r>
    </w:p>
    <w:p>
      <w:pPr>
        <w:pStyle w:val="BodyText"/>
        <w:spacing w:line="307" w:lineRule="exact"/>
        <w:ind w:left="800"/>
      </w:pPr>
      <w:r>
        <w:rPr/>
        <w:t>8、建立消防档案，确定消防安全重点部位，设置防火标</w:t>
      </w:r>
    </w:p>
    <w:p>
      <w:pPr>
        <w:spacing w:after="0" w:line="307" w:lineRule="exact"/>
        <w:sectPr>
          <w:pgSz w:w="8400" w:h="11910"/>
          <w:pgMar w:header="0" w:footer="834" w:top="1100" w:bottom="1020" w:left="700" w:right="560"/>
        </w:sectPr>
      </w:pPr>
    </w:p>
    <w:p>
      <w:pPr>
        <w:pStyle w:val="BodyText"/>
        <w:spacing w:before="108"/>
        <w:ind w:left="320"/>
      </w:pPr>
      <w:r>
        <w:rPr/>
        <w:t>志，实行严格管理；</w:t>
      </w:r>
    </w:p>
    <w:p>
      <w:pPr>
        <w:pStyle w:val="BodyText"/>
        <w:spacing w:before="93"/>
        <w:ind w:left="800"/>
      </w:pPr>
      <w:r>
        <w:rPr/>
        <w:t>9、实行防火巡查，并建立巡查记录；</w:t>
      </w:r>
    </w:p>
    <w:p>
      <w:pPr>
        <w:pStyle w:val="BodyText"/>
        <w:spacing w:line="312" w:lineRule="auto" w:before="91"/>
        <w:ind w:left="320" w:right="455" w:firstLine="480"/>
      </w:pPr>
      <w:r>
        <w:rPr/>
        <w:t>10、对员工进行岗前消防安全培训，定期组织消防安全培训和消防演练；</w:t>
      </w:r>
    </w:p>
    <w:p>
      <w:pPr>
        <w:pStyle w:val="BodyText"/>
        <w:spacing w:before="2"/>
        <w:ind w:left="800"/>
      </w:pPr>
      <w:r>
        <w:rPr/>
        <w:t>11、建立微型消防站，落实值班人员和装备器材。</w:t>
      </w:r>
    </w:p>
    <w:p>
      <w:pPr>
        <w:pStyle w:val="BodyText"/>
        <w:spacing w:before="91"/>
        <w:ind w:left="800"/>
      </w:pPr>
      <w:r>
        <w:rPr/>
        <w:t>12、法律、法规规定的其他消防安全职责。</w:t>
      </w:r>
    </w:p>
    <w:p>
      <w:pPr>
        <w:pStyle w:val="Heading3"/>
        <w:spacing w:before="214"/>
        <w:rPr>
          <w:rFonts w:ascii="黑体" w:eastAsia="黑体" w:hint="eastAsia"/>
        </w:rPr>
      </w:pPr>
      <w:bookmarkStart w:name="_bookmark6" w:id="7"/>
      <w:bookmarkEnd w:id="7"/>
      <w:r>
        <w:rPr>
          <w:b w:val="0"/>
        </w:rPr>
      </w:r>
      <w:r>
        <w:rPr>
          <w:rFonts w:ascii="黑体" w:eastAsia="黑体" w:hint="eastAsia"/>
        </w:rPr>
        <w:t>(二)单位消防安全责任人职责</w:t>
      </w:r>
    </w:p>
    <w:p>
      <w:pPr>
        <w:pStyle w:val="BodyText"/>
        <w:spacing w:line="312" w:lineRule="auto" w:before="213"/>
        <w:ind w:left="320" w:right="400" w:firstLine="480"/>
        <w:jc w:val="right"/>
      </w:pPr>
      <w:r>
        <w:rPr>
          <w:spacing w:val="-3"/>
        </w:rPr>
        <w:t>1、贯彻执行消防法规，保障单位消防安全符合规定，掌</w:t>
      </w:r>
      <w:r>
        <w:rPr>
          <w:spacing w:val="-10"/>
        </w:rPr>
        <w:t>握本单位的消防安全情况，全面负责本单位的消防安全工作； </w:t>
      </w:r>
      <w:r>
        <w:rPr>
          <w:spacing w:val="-3"/>
        </w:rPr>
        <w:t>2、统筹安排生产、经营、科研等活动中的消防安全管理</w:t>
      </w:r>
    </w:p>
    <w:p>
      <w:pPr>
        <w:pStyle w:val="BodyText"/>
        <w:spacing w:before="1"/>
        <w:ind w:left="320"/>
      </w:pPr>
      <w:r>
        <w:rPr/>
        <w:t>工作，批准实施年度消防工作计划；</w:t>
      </w:r>
    </w:p>
    <w:p>
      <w:pPr>
        <w:pStyle w:val="BodyText"/>
        <w:spacing w:before="91"/>
        <w:ind w:left="800"/>
      </w:pPr>
      <w:r>
        <w:rPr/>
        <w:t>3、为消防安全管理提供必要的经费和组织保障；</w:t>
      </w:r>
    </w:p>
    <w:p>
      <w:pPr>
        <w:pStyle w:val="BodyText"/>
        <w:spacing w:line="312" w:lineRule="auto" w:before="93"/>
        <w:ind w:left="320" w:right="459" w:firstLine="480"/>
      </w:pPr>
      <w:r>
        <w:rPr/>
        <w:t>4、确定逐级消防安全责任，批准实施消防安全管理制度和保障消防安全的操作规程；</w:t>
      </w:r>
    </w:p>
    <w:p>
      <w:pPr>
        <w:pStyle w:val="BodyText"/>
        <w:spacing w:line="312" w:lineRule="auto" w:before="1"/>
        <w:ind w:left="320" w:right="460" w:firstLine="480"/>
      </w:pPr>
      <w:r>
        <w:rPr/>
        <w:t>5、组织防火检查，督促整改火灾隐患，及时处理涉及消防安全的重大问题；</w:t>
      </w:r>
    </w:p>
    <w:p>
      <w:pPr>
        <w:pStyle w:val="BodyText"/>
        <w:spacing w:line="312" w:lineRule="auto" w:before="2"/>
        <w:ind w:left="320" w:right="459" w:firstLine="480"/>
      </w:pPr>
      <w:r>
        <w:rPr/>
        <w:t>6、根据消防法规的规定建立专职消防队、志愿消防队或义务消防队，并配备相应的消防器材和装备；</w:t>
      </w:r>
    </w:p>
    <w:p>
      <w:pPr>
        <w:pStyle w:val="BodyText"/>
        <w:spacing w:line="312" w:lineRule="auto"/>
        <w:ind w:left="320" w:right="465" w:firstLine="480"/>
      </w:pPr>
      <w:r>
        <w:rPr/>
        <w:t>7、针对本场所的实际情况组织制定灭火和应急疏散预案，并实施演练；</w:t>
      </w:r>
    </w:p>
    <w:p>
      <w:pPr>
        <w:pStyle w:val="BodyText"/>
        <w:spacing w:line="312" w:lineRule="auto"/>
        <w:ind w:left="320" w:right="459" w:firstLine="480"/>
      </w:pPr>
      <w:r>
        <w:rPr/>
        <w:t>8、定期研宄单位的消防工作事项，听取单位消防工作情况汇报。</w:t>
      </w:r>
    </w:p>
    <w:p>
      <w:pPr>
        <w:pStyle w:val="Heading3"/>
        <w:spacing w:before="122"/>
        <w:rPr>
          <w:rFonts w:ascii="黑体" w:eastAsia="黑体" w:hint="eastAsia"/>
        </w:rPr>
      </w:pPr>
      <w:bookmarkStart w:name="_bookmark7" w:id="8"/>
      <w:bookmarkEnd w:id="8"/>
      <w:r>
        <w:rPr>
          <w:b w:val="0"/>
        </w:rPr>
      </w:r>
      <w:r>
        <w:rPr>
          <w:rFonts w:ascii="黑体" w:eastAsia="黑体" w:hint="eastAsia"/>
        </w:rPr>
        <w:t>(三)单位消防安全管理人职责</w:t>
      </w:r>
    </w:p>
    <w:p>
      <w:pPr>
        <w:spacing w:after="0"/>
        <w:rPr>
          <w:rFonts w:ascii="黑体" w:eastAsia="黑体" w:hint="eastAsia"/>
        </w:rPr>
        <w:sectPr>
          <w:pgSz w:w="8400" w:h="11910"/>
          <w:pgMar w:header="0" w:footer="875" w:top="1100" w:bottom="1060" w:left="700" w:right="560"/>
        </w:sectPr>
      </w:pPr>
    </w:p>
    <w:p>
      <w:pPr>
        <w:pStyle w:val="BodyText"/>
        <w:spacing w:line="312" w:lineRule="auto" w:before="108"/>
        <w:ind w:left="320" w:right="459" w:firstLine="480"/>
      </w:pPr>
      <w:r>
        <w:rPr/>
        <w:t>1、拟订年度消防安全工作计划，组织实施日常消防安全管理工作；</w:t>
      </w:r>
    </w:p>
    <w:p>
      <w:pPr>
        <w:pStyle w:val="BodyText"/>
        <w:spacing w:line="312" w:lineRule="auto"/>
        <w:ind w:left="320" w:right="459" w:firstLine="480"/>
      </w:pPr>
      <w:r>
        <w:rPr/>
        <w:t>2、组织制订消防安全管理制度和保障消防安全的操作规程，并检查督促落实；</w:t>
      </w:r>
    </w:p>
    <w:p>
      <w:pPr>
        <w:pStyle w:val="BodyText"/>
        <w:spacing w:before="2"/>
        <w:ind w:left="800"/>
      </w:pPr>
      <w:r>
        <w:rPr/>
        <w:t>3、拟订消防安全工作的资金预算和组织保障方案；</w:t>
      </w:r>
    </w:p>
    <w:p>
      <w:pPr>
        <w:pStyle w:val="BodyText"/>
        <w:spacing w:before="91"/>
        <w:ind w:left="800"/>
      </w:pPr>
      <w:r>
        <w:rPr/>
        <w:t>4、组织实施防火检查和火灾隐患整改；</w:t>
      </w:r>
    </w:p>
    <w:p>
      <w:pPr>
        <w:pStyle w:val="BodyText"/>
        <w:spacing w:line="312" w:lineRule="auto" w:before="93"/>
        <w:ind w:left="320" w:right="455" w:firstLine="480"/>
        <w:jc w:val="both"/>
      </w:pPr>
      <w:r>
        <w:rPr/>
        <w:t>5、组织实施对本场所消防设施、灭火器材和消防安全标志的维护保养，确保其完好有效和处于正常运行状态，确保疏 散通道和安全出口畅通；</w:t>
      </w:r>
    </w:p>
    <w:p>
      <w:pPr>
        <w:pStyle w:val="BodyText"/>
        <w:spacing w:line="312" w:lineRule="auto" w:before="1"/>
        <w:ind w:left="320" w:right="459" w:firstLine="480"/>
      </w:pPr>
      <w:r>
        <w:rPr/>
        <w:t>6、组织管理专职消防队、志愿消防队义务消防队和微型消防站，开展日常业务训练；</w:t>
      </w:r>
    </w:p>
    <w:p>
      <w:pPr>
        <w:pStyle w:val="BodyText"/>
        <w:spacing w:line="312" w:lineRule="auto"/>
        <w:ind w:left="320" w:right="460" w:firstLine="480"/>
      </w:pPr>
      <w:r>
        <w:rPr/>
        <w:t>7、在员工中组织开展消防知识、技能的教育和培训，组织灭火和应急疏散预案的实施和演练；</w:t>
      </w:r>
    </w:p>
    <w:p>
      <w:pPr>
        <w:pStyle w:val="BodyText"/>
        <w:spacing w:before="2"/>
        <w:ind w:left="800"/>
      </w:pPr>
      <w:r>
        <w:rPr/>
        <w:t>8、消防安全责任人委托的其他消防安全管理工作；</w:t>
      </w:r>
    </w:p>
    <w:p>
      <w:pPr>
        <w:pStyle w:val="BodyText"/>
        <w:spacing w:line="312" w:lineRule="auto" w:before="92"/>
        <w:ind w:left="320" w:right="459" w:firstLine="480"/>
      </w:pPr>
      <w:r>
        <w:rPr/>
        <w:t>9、消防安全管理人应当定期向消防安全责任人报告消防安全情况，及时报告涉及消防安全的重大问题。</w:t>
      </w:r>
    </w:p>
    <w:p>
      <w:pPr>
        <w:pStyle w:val="Heading3"/>
        <w:spacing w:before="122"/>
        <w:rPr>
          <w:rFonts w:ascii="黑体" w:eastAsia="黑体" w:hint="eastAsia"/>
        </w:rPr>
      </w:pPr>
      <w:bookmarkStart w:name="_bookmark8" w:id="9"/>
      <w:bookmarkEnd w:id="9"/>
      <w:r>
        <w:rPr>
          <w:b w:val="0"/>
        </w:rPr>
      </w:r>
      <w:r>
        <w:rPr>
          <w:rFonts w:ascii="黑体" w:eastAsia="黑体" w:hint="eastAsia"/>
        </w:rPr>
        <w:t>(四)部门消防安全责任人职责</w:t>
      </w:r>
    </w:p>
    <w:p>
      <w:pPr>
        <w:pStyle w:val="BodyText"/>
        <w:spacing w:before="211"/>
        <w:ind w:left="800"/>
      </w:pPr>
      <w:r>
        <w:rPr/>
        <w:t>1、组织实施本部门的消防安全管理工作计划；</w:t>
      </w:r>
    </w:p>
    <w:p>
      <w:pPr>
        <w:pStyle w:val="BodyText"/>
        <w:spacing w:line="312" w:lineRule="auto" w:before="93"/>
        <w:ind w:left="320" w:right="458" w:firstLine="480"/>
      </w:pPr>
      <w:r>
        <w:rPr/>
        <w:t>2、根据本部门的实际情况开展消防安全教育与培训，制订消防安全管理制度，落实消防安全措施；</w:t>
      </w:r>
    </w:p>
    <w:p>
      <w:pPr>
        <w:pStyle w:val="BodyText"/>
        <w:spacing w:line="312" w:lineRule="auto"/>
        <w:ind w:left="320" w:right="459" w:firstLine="480"/>
      </w:pPr>
      <w:r>
        <w:rPr/>
        <w:t>3、按照规定实施消防安全巡查和定期检查，管理消防安全重点部位，维护管辖范围的消防设施；</w:t>
      </w:r>
    </w:p>
    <w:p>
      <w:pPr>
        <w:pStyle w:val="BodyText"/>
        <w:spacing w:before="2"/>
        <w:ind w:left="800"/>
      </w:pPr>
      <w:r>
        <w:rPr/>
        <w:t>4、及时发现和消除火灾隐患，不能消除的，应采取相应</w:t>
      </w:r>
    </w:p>
    <w:p>
      <w:pPr>
        <w:spacing w:after="0"/>
        <w:sectPr>
          <w:pgSz w:w="8400" w:h="11910"/>
          <w:pgMar w:header="0" w:footer="834" w:top="1100" w:bottom="1020" w:left="700" w:right="560"/>
        </w:sectPr>
      </w:pPr>
    </w:p>
    <w:p>
      <w:pPr>
        <w:pStyle w:val="BodyText"/>
        <w:spacing w:before="108"/>
        <w:ind w:left="320"/>
      </w:pPr>
      <w:r>
        <w:rPr/>
        <w:t>措施并及时向消防安全管理人报告；</w:t>
      </w:r>
    </w:p>
    <w:p>
      <w:pPr>
        <w:pStyle w:val="BodyText"/>
        <w:spacing w:line="312" w:lineRule="auto" w:before="93"/>
        <w:ind w:left="320" w:right="460" w:firstLine="480"/>
      </w:pPr>
      <w:r>
        <w:rPr/>
        <w:t>5、发现火灾应及时报警，并组织人员进行疏散和初起火灾扑救。</w:t>
      </w:r>
    </w:p>
    <w:p>
      <w:pPr>
        <w:pStyle w:val="Heading3"/>
        <w:spacing w:before="120"/>
        <w:rPr>
          <w:rFonts w:ascii="黑体" w:eastAsia="黑体" w:hint="eastAsia"/>
        </w:rPr>
      </w:pPr>
      <w:bookmarkStart w:name="_bookmark9" w:id="10"/>
      <w:bookmarkEnd w:id="10"/>
      <w:r>
        <w:rPr>
          <w:b w:val="0"/>
        </w:rPr>
      </w:r>
      <w:r>
        <w:rPr>
          <w:rFonts w:ascii="黑体" w:eastAsia="黑体" w:hint="eastAsia"/>
        </w:rPr>
        <w:t>(五)消防控制室值班员职责</w:t>
      </w:r>
    </w:p>
    <w:p>
      <w:pPr>
        <w:pStyle w:val="BodyText"/>
        <w:spacing w:line="312" w:lineRule="auto" w:before="213"/>
        <w:ind w:left="320" w:right="400" w:firstLine="480"/>
        <w:jc w:val="right"/>
      </w:pPr>
      <w:r>
        <w:rPr>
          <w:spacing w:val="-3"/>
        </w:rPr>
        <w:t>1、熟悉和掌握消防控制室设备功能及操作规程，按照规</w:t>
      </w:r>
      <w:r>
        <w:rPr>
          <w:spacing w:val="-10"/>
        </w:rPr>
        <w:t>定测试自动消防设施功能，保障消防控制室设备的正常运行； </w:t>
      </w:r>
      <w:r>
        <w:rPr>
          <w:spacing w:val="-3"/>
        </w:rPr>
        <w:t>2、对火警信号应立即确认，火灾确认后应立即报火警并</w:t>
      </w:r>
    </w:p>
    <w:p>
      <w:pPr>
        <w:pStyle w:val="BodyText"/>
        <w:spacing w:before="2"/>
        <w:ind w:left="320"/>
      </w:pPr>
      <w:r>
        <w:rPr/>
        <w:t>向消防主管人员报告，随即启动灭火和应急疏散预案；</w:t>
      </w:r>
    </w:p>
    <w:p>
      <w:pPr>
        <w:pStyle w:val="BodyText"/>
        <w:spacing w:line="312" w:lineRule="auto" w:before="91"/>
        <w:ind w:left="320" w:right="400" w:firstLine="480"/>
        <w:jc w:val="right"/>
      </w:pPr>
      <w:r>
        <w:rPr>
          <w:spacing w:val="-3"/>
        </w:rPr>
        <w:t>3、对故障报警信号应及时确认，消防设施故障应及时排</w:t>
      </w:r>
      <w:r>
        <w:rPr>
          <w:spacing w:val="-10"/>
        </w:rPr>
        <w:t>除，不能排除应立即向部门主管人员或消防安全管理人报告； </w:t>
      </w:r>
      <w:r>
        <w:rPr>
          <w:spacing w:val="-3"/>
        </w:rPr>
        <w:t>4、不间断值守岗位，做好消防控制室的火警、故障和值</w:t>
      </w:r>
    </w:p>
    <w:p>
      <w:pPr>
        <w:pStyle w:val="BodyText"/>
        <w:ind w:left="320"/>
      </w:pPr>
      <w:r>
        <w:rPr/>
        <w:t>班记录。</w:t>
      </w:r>
    </w:p>
    <w:p>
      <w:pPr>
        <w:pStyle w:val="Heading3"/>
        <w:spacing w:before="214"/>
        <w:rPr>
          <w:rFonts w:ascii="黑体" w:eastAsia="黑体" w:hint="eastAsia"/>
        </w:rPr>
      </w:pPr>
      <w:bookmarkStart w:name="_bookmark10" w:id="11"/>
      <w:bookmarkEnd w:id="11"/>
      <w:r>
        <w:rPr>
          <w:b w:val="0"/>
        </w:rPr>
      </w:r>
      <w:r>
        <w:rPr>
          <w:rFonts w:ascii="黑体" w:eastAsia="黑体" w:hint="eastAsia"/>
        </w:rPr>
        <w:t>(六)消防工作人员职责</w:t>
      </w:r>
    </w:p>
    <w:p>
      <w:pPr>
        <w:pStyle w:val="BodyText"/>
        <w:spacing w:line="312" w:lineRule="auto" w:before="213"/>
        <w:ind w:left="320" w:right="450" w:firstLine="480"/>
      </w:pPr>
      <w:r>
        <w:rPr/>
        <w:t>1、按照本单位的管理规定进行防火巡查，并做好记录， 发现问题应及时报告；</w:t>
      </w:r>
    </w:p>
    <w:p>
      <w:pPr>
        <w:pStyle w:val="BodyText"/>
        <w:spacing w:line="312" w:lineRule="auto"/>
        <w:ind w:left="320" w:right="459" w:firstLine="480"/>
      </w:pPr>
      <w:r>
        <w:rPr/>
        <w:t>2、发现火灾应及时报火警并报告主管人员，实施灭火和应急疏散预案，协助灭火救援；</w:t>
      </w:r>
    </w:p>
    <w:p>
      <w:pPr>
        <w:pStyle w:val="BodyText"/>
        <w:spacing w:line="307" w:lineRule="exact"/>
        <w:ind w:left="800"/>
      </w:pPr>
      <w:r>
        <w:rPr/>
        <w:t>3、劝阻和制止违反消防法规和消防安全管理制度行为。</w:t>
      </w:r>
    </w:p>
    <w:p>
      <w:pPr>
        <w:pStyle w:val="Heading3"/>
        <w:spacing w:before="213"/>
        <w:rPr>
          <w:rFonts w:ascii="黑体" w:eastAsia="黑体" w:hint="eastAsia"/>
        </w:rPr>
      </w:pPr>
      <w:bookmarkStart w:name="_bookmark11" w:id="12"/>
      <w:bookmarkEnd w:id="12"/>
      <w:r>
        <w:rPr>
          <w:b w:val="0"/>
        </w:rPr>
      </w:r>
      <w:r>
        <w:rPr>
          <w:rFonts w:ascii="黑体" w:eastAsia="黑体" w:hint="eastAsia"/>
          <w:w w:val="95"/>
        </w:rPr>
        <w:t>(七)电气焊工、电工、易燃易爆化学物品操作人员职责</w:t>
      </w:r>
    </w:p>
    <w:p>
      <w:pPr>
        <w:pStyle w:val="BodyText"/>
        <w:spacing w:before="214"/>
        <w:ind w:left="800"/>
      </w:pPr>
      <w:r>
        <w:rPr/>
        <w:t>1、执行有关消防安全制度和操作规程，履行审批手续；</w:t>
      </w:r>
    </w:p>
    <w:p>
      <w:pPr>
        <w:pStyle w:val="BodyText"/>
        <w:spacing w:before="91"/>
        <w:ind w:left="800"/>
      </w:pPr>
      <w:r>
        <w:rPr/>
        <w:t>2、落实相应作业现场的消防安全措施，保障消防安全；</w:t>
      </w:r>
    </w:p>
    <w:p>
      <w:pPr>
        <w:pStyle w:val="BodyText"/>
        <w:spacing w:before="93"/>
        <w:ind w:left="800"/>
      </w:pPr>
      <w:r>
        <w:rPr/>
        <w:t>3、发生火灾后应立即报火警，实施扑救。</w:t>
      </w:r>
    </w:p>
    <w:p>
      <w:pPr>
        <w:spacing w:after="0"/>
        <w:sectPr>
          <w:pgSz w:w="8400" w:h="11910"/>
          <w:pgMar w:header="0" w:footer="875" w:top="1100" w:bottom="1060" w:left="700" w:right="560"/>
        </w:sectPr>
      </w:pPr>
    </w:p>
    <w:p>
      <w:pPr>
        <w:pStyle w:val="BodyText"/>
        <w:ind w:left="0"/>
        <w:rPr>
          <w:sz w:val="6"/>
        </w:rPr>
      </w:pPr>
    </w:p>
    <w:p>
      <w:pPr>
        <w:pStyle w:val="BodyText"/>
        <w:ind w:left="2049"/>
        <w:rPr>
          <w:sz w:val="20"/>
        </w:rPr>
      </w:pPr>
      <w:r>
        <w:rPr>
          <w:sz w:val="20"/>
        </w:rPr>
        <w:drawing>
          <wp:inline distT="0" distB="0" distL="0" distR="0">
            <wp:extent cx="2041143" cy="240792"/>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2041143" cy="240792"/>
                    </a:xfrm>
                    <a:prstGeom prst="rect">
                      <a:avLst/>
                    </a:prstGeom>
                  </pic:spPr>
                </pic:pic>
              </a:graphicData>
            </a:graphic>
          </wp:inline>
        </w:drawing>
      </w:r>
      <w:r>
        <w:rPr>
          <w:sz w:val="20"/>
        </w:rPr>
      </w:r>
    </w:p>
    <w:p>
      <w:pPr>
        <w:pStyle w:val="BodyText"/>
        <w:ind w:left="0"/>
        <w:rPr>
          <w:sz w:val="20"/>
        </w:rPr>
      </w:pPr>
    </w:p>
    <w:p>
      <w:pPr>
        <w:pStyle w:val="BodyText"/>
        <w:ind w:left="0"/>
        <w:rPr>
          <w:sz w:val="21"/>
        </w:rPr>
      </w:pPr>
    </w:p>
    <w:p>
      <w:pPr>
        <w:pStyle w:val="Heading3"/>
        <w:spacing w:before="67"/>
        <w:rPr>
          <w:rFonts w:ascii="黑体" w:eastAsia="黑体" w:hint="eastAsia"/>
        </w:rPr>
      </w:pPr>
      <w:bookmarkStart w:name="_bookmark12" w:id="13"/>
      <w:bookmarkEnd w:id="13"/>
      <w:r>
        <w:rPr>
          <w:b w:val="0"/>
        </w:rPr>
      </w:r>
      <w:bookmarkStart w:name="_bookmark13" w:id="14"/>
      <w:bookmarkEnd w:id="14"/>
      <w:r>
        <w:rPr>
          <w:b w:val="0"/>
        </w:rPr>
      </w:r>
      <w:r>
        <w:rPr>
          <w:rFonts w:ascii="黑体" w:eastAsia="黑体" w:hint="eastAsia"/>
        </w:rPr>
        <w:t>(一)防火巡查、检査制度</w:t>
      </w:r>
    </w:p>
    <w:p>
      <w:pPr>
        <w:pStyle w:val="BodyText"/>
        <w:spacing w:line="312" w:lineRule="auto" w:before="211"/>
        <w:ind w:left="320" w:right="459" w:firstLine="480"/>
      </w:pPr>
      <w:r>
        <w:rPr/>
        <w:t>1、建立防火巡查和防火检查制度，确定巡查和检查的人员、内容、部位和频次；</w:t>
      </w:r>
    </w:p>
    <w:p>
      <w:pPr>
        <w:pStyle w:val="BodyText"/>
        <w:spacing w:line="312" w:lineRule="auto" w:before="2"/>
        <w:ind w:left="320" w:right="406" w:firstLine="480"/>
        <w:jc w:val="both"/>
      </w:pPr>
      <w:r>
        <w:rPr>
          <w:spacing w:val="-3"/>
        </w:rPr>
        <w:t>2、防火巡查和检查时应填写巡查和检查记录，巡查和检</w:t>
      </w:r>
      <w:r>
        <w:rPr/>
        <w:t>查人员应在记录上签名。巡查、检查中应及时纠正违法违章</w:t>
      </w:r>
      <w:r>
        <w:rPr>
          <w:spacing w:val="-12"/>
        </w:rPr>
        <w:t>行为，消除火灾隐患，无法整改的应立即报告，并记录存档；</w:t>
      </w:r>
    </w:p>
    <w:p>
      <w:pPr>
        <w:pStyle w:val="BodyText"/>
        <w:spacing w:before="1"/>
        <w:ind w:left="800"/>
      </w:pPr>
      <w:r>
        <w:rPr/>
        <w:t>3、防火巡查时发现火灾应立即报火警并实施扑救；</w:t>
      </w:r>
    </w:p>
    <w:p>
      <w:pPr>
        <w:pStyle w:val="BodyText"/>
        <w:spacing w:line="312" w:lineRule="auto" w:before="91"/>
        <w:ind w:left="320" w:right="455" w:firstLine="480"/>
        <w:jc w:val="both"/>
      </w:pPr>
      <w:r>
        <w:rPr/>
        <w:t>4、公众聚集场所及火灾高危单位在营业和生产期间的防火巡查应当至少每两小时一次，营业结束时应当对营业场所进行检查，消除遗留火种；</w:t>
      </w:r>
    </w:p>
    <w:p>
      <w:pPr>
        <w:pStyle w:val="BodyText"/>
        <w:spacing w:line="312" w:lineRule="auto" w:before="1"/>
        <w:ind w:left="320" w:right="455" w:firstLine="480"/>
        <w:jc w:val="both"/>
      </w:pPr>
      <w:r>
        <w:rPr/>
        <w:t>5、除公众聚集场所商场、宾馆和公共娱乐场所、火灾高危单位外，各单位应进行每日防火巡查，并结合实际组织夜间防火巡查；</w:t>
      </w:r>
    </w:p>
    <w:p>
      <w:pPr>
        <w:pStyle w:val="BodyText"/>
        <w:spacing w:before="1"/>
        <w:ind w:left="800"/>
      </w:pPr>
      <w:r>
        <w:rPr/>
        <w:t>6、每日防火巡查应包括下列内容：</w:t>
      </w:r>
    </w:p>
    <w:p>
      <w:pPr>
        <w:pStyle w:val="ListParagraph"/>
        <w:numPr>
          <w:ilvl w:val="0"/>
          <w:numId w:val="1"/>
        </w:numPr>
        <w:tabs>
          <w:tab w:pos="1162" w:val="left" w:leader="none"/>
        </w:tabs>
        <w:spacing w:line="312" w:lineRule="auto" w:before="93" w:after="0"/>
        <w:ind w:left="320" w:right="460" w:firstLine="480"/>
        <w:jc w:val="left"/>
        <w:rPr>
          <w:sz w:val="24"/>
        </w:rPr>
      </w:pPr>
      <w:r>
        <w:rPr>
          <w:spacing w:val="-4"/>
          <w:sz w:val="24"/>
        </w:rPr>
        <w:t>用火、用电有无违章情况，临时用火、用电应经单位</w:t>
      </w:r>
      <w:r>
        <w:rPr>
          <w:sz w:val="24"/>
        </w:rPr>
        <w:t>主要负责人审批同意；</w:t>
      </w:r>
    </w:p>
    <w:p>
      <w:pPr>
        <w:pStyle w:val="ListParagraph"/>
        <w:numPr>
          <w:ilvl w:val="0"/>
          <w:numId w:val="1"/>
        </w:numPr>
        <w:tabs>
          <w:tab w:pos="1162" w:val="left" w:leader="none"/>
        </w:tabs>
        <w:spacing w:line="312" w:lineRule="auto" w:before="0" w:after="0"/>
        <w:ind w:left="320" w:right="460" w:firstLine="480"/>
        <w:jc w:val="left"/>
        <w:rPr>
          <w:sz w:val="24"/>
        </w:rPr>
      </w:pPr>
      <w:r>
        <w:rPr>
          <w:spacing w:val="-4"/>
          <w:sz w:val="24"/>
        </w:rPr>
        <w:t>安全出口、疏散通道是否畅通，有无锁闭；安全疏散</w:t>
      </w:r>
      <w:r>
        <w:rPr>
          <w:sz w:val="24"/>
        </w:rPr>
        <w:t>指示标志、应急照明是否完好；</w:t>
      </w:r>
    </w:p>
    <w:p>
      <w:pPr>
        <w:pStyle w:val="ListParagraph"/>
        <w:numPr>
          <w:ilvl w:val="0"/>
          <w:numId w:val="1"/>
        </w:numPr>
        <w:tabs>
          <w:tab w:pos="1162" w:val="left" w:leader="none"/>
        </w:tabs>
        <w:spacing w:line="312" w:lineRule="auto" w:before="3" w:after="0"/>
        <w:ind w:left="320" w:right="459" w:firstLine="480"/>
        <w:jc w:val="left"/>
        <w:rPr>
          <w:sz w:val="24"/>
        </w:rPr>
      </w:pPr>
      <w:r>
        <w:rPr>
          <w:spacing w:val="-3"/>
          <w:sz w:val="24"/>
        </w:rPr>
        <w:t>常闭式防火门是否处于关闭状态，防火卷帘下是否堆</w:t>
      </w:r>
      <w:r>
        <w:rPr>
          <w:sz w:val="24"/>
        </w:rPr>
        <w:t>放物品；</w:t>
      </w:r>
    </w:p>
    <w:p>
      <w:pPr>
        <w:pStyle w:val="ListParagraph"/>
        <w:numPr>
          <w:ilvl w:val="0"/>
          <w:numId w:val="1"/>
        </w:numPr>
        <w:tabs>
          <w:tab w:pos="1162" w:val="left" w:leader="none"/>
        </w:tabs>
        <w:spacing w:line="307" w:lineRule="exact" w:before="0" w:after="0"/>
        <w:ind w:left="1161" w:right="0" w:hanging="362"/>
        <w:jc w:val="left"/>
        <w:rPr>
          <w:sz w:val="24"/>
        </w:rPr>
      </w:pPr>
      <w:r>
        <w:rPr>
          <w:spacing w:val="-3"/>
          <w:sz w:val="24"/>
        </w:rPr>
        <w:t>消防设施、器材是否在位、完整有效。消防安全标志</w:t>
      </w:r>
    </w:p>
    <w:p>
      <w:pPr>
        <w:spacing w:after="0" w:line="307" w:lineRule="exact"/>
        <w:jc w:val="left"/>
        <w:rPr>
          <w:sz w:val="24"/>
        </w:rPr>
        <w:sectPr>
          <w:pgSz w:w="8400" w:h="11910"/>
          <w:pgMar w:header="0" w:footer="834" w:top="1100" w:bottom="1020" w:left="700" w:right="560"/>
        </w:sectPr>
      </w:pPr>
    </w:p>
    <w:p>
      <w:pPr>
        <w:pStyle w:val="BodyText"/>
        <w:spacing w:before="108"/>
        <w:ind w:left="320"/>
      </w:pPr>
      <w:r>
        <w:rPr/>
        <w:t>是否完好清晰；</w:t>
      </w:r>
    </w:p>
    <w:p>
      <w:pPr>
        <w:pStyle w:val="ListParagraph"/>
        <w:numPr>
          <w:ilvl w:val="0"/>
          <w:numId w:val="1"/>
        </w:numPr>
        <w:tabs>
          <w:tab w:pos="1162" w:val="left" w:leader="none"/>
        </w:tabs>
        <w:spacing w:line="312" w:lineRule="auto" w:before="93" w:after="0"/>
        <w:ind w:left="800" w:right="2130" w:firstLine="0"/>
        <w:jc w:val="left"/>
        <w:rPr>
          <w:sz w:val="24"/>
        </w:rPr>
      </w:pPr>
      <w:r>
        <w:rPr>
          <w:spacing w:val="-2"/>
          <w:sz w:val="24"/>
        </w:rPr>
        <w:t>消防安全重点部位的人员在岗情况； </w:t>
      </w:r>
      <w:r>
        <w:rPr>
          <w:sz w:val="24"/>
        </w:rPr>
        <w:t>(6)其他消防安全情况。</w:t>
      </w:r>
    </w:p>
    <w:p>
      <w:pPr>
        <w:pStyle w:val="BodyText"/>
        <w:spacing w:line="312" w:lineRule="auto"/>
        <w:ind w:left="320" w:right="459" w:firstLine="480"/>
      </w:pPr>
      <w:r>
        <w:rPr/>
        <w:t>7、防火检查应定期开展，消防安全重点单位至少每月进行一次。</w:t>
      </w:r>
    </w:p>
    <w:p>
      <w:pPr>
        <w:pStyle w:val="BodyText"/>
        <w:spacing w:line="307" w:lineRule="exact"/>
        <w:ind w:left="800"/>
      </w:pPr>
      <w:r>
        <w:rPr/>
        <w:t>8、每月防火检查应包括下列内容：</w:t>
      </w:r>
    </w:p>
    <w:p>
      <w:pPr>
        <w:pStyle w:val="ListParagraph"/>
        <w:numPr>
          <w:ilvl w:val="0"/>
          <w:numId w:val="2"/>
        </w:numPr>
        <w:tabs>
          <w:tab w:pos="1162" w:val="left" w:leader="none"/>
        </w:tabs>
        <w:spacing w:line="240" w:lineRule="auto" w:before="93" w:after="0"/>
        <w:ind w:left="1161" w:right="0" w:hanging="362"/>
        <w:jc w:val="left"/>
        <w:rPr>
          <w:sz w:val="24"/>
        </w:rPr>
      </w:pPr>
      <w:r>
        <w:rPr>
          <w:sz w:val="24"/>
        </w:rPr>
        <w:t>火灾隐患的整改以及防范措施的落实情况；</w:t>
      </w:r>
    </w:p>
    <w:p>
      <w:pPr>
        <w:pStyle w:val="ListParagraph"/>
        <w:numPr>
          <w:ilvl w:val="0"/>
          <w:numId w:val="2"/>
        </w:numPr>
        <w:tabs>
          <w:tab w:pos="1162" w:val="left" w:leader="none"/>
        </w:tabs>
        <w:spacing w:line="312" w:lineRule="auto" w:before="94" w:after="0"/>
        <w:ind w:left="320" w:right="462" w:firstLine="480"/>
        <w:jc w:val="left"/>
        <w:rPr>
          <w:sz w:val="24"/>
        </w:rPr>
      </w:pPr>
      <w:r>
        <w:rPr>
          <w:spacing w:val="-4"/>
          <w:sz w:val="24"/>
        </w:rPr>
        <w:t>疏散通道、楼梯，安全出口及其疏散指示标志、应急</w:t>
      </w:r>
      <w:r>
        <w:rPr>
          <w:sz w:val="24"/>
        </w:rPr>
        <w:t>照明；</w:t>
      </w:r>
    </w:p>
    <w:p>
      <w:pPr>
        <w:pStyle w:val="ListParagraph"/>
        <w:numPr>
          <w:ilvl w:val="0"/>
          <w:numId w:val="2"/>
        </w:numPr>
        <w:tabs>
          <w:tab w:pos="1162" w:val="left" w:leader="none"/>
        </w:tabs>
        <w:spacing w:line="312" w:lineRule="auto" w:before="0" w:after="0"/>
        <w:ind w:left="800" w:right="3090" w:firstLine="0"/>
        <w:jc w:val="left"/>
        <w:rPr>
          <w:sz w:val="24"/>
        </w:rPr>
      </w:pPr>
      <w:r>
        <w:rPr>
          <w:sz w:val="24"/>
        </w:rPr>
        <w:t>消防车通道、消防水源； (4)</w:t>
      </w:r>
      <w:r>
        <w:rPr>
          <w:spacing w:val="-2"/>
          <w:sz w:val="24"/>
        </w:rPr>
        <w:t>灭火器材配置及有效情况；</w:t>
      </w:r>
    </w:p>
    <w:p>
      <w:pPr>
        <w:pStyle w:val="ListParagraph"/>
        <w:numPr>
          <w:ilvl w:val="0"/>
          <w:numId w:val="3"/>
        </w:numPr>
        <w:tabs>
          <w:tab w:pos="1162" w:val="left" w:leader="none"/>
        </w:tabs>
        <w:spacing w:line="312" w:lineRule="auto" w:before="0" w:after="0"/>
        <w:ind w:left="320" w:right="460" w:firstLine="480"/>
        <w:jc w:val="left"/>
        <w:rPr>
          <w:sz w:val="24"/>
        </w:rPr>
      </w:pPr>
      <w:r>
        <w:rPr>
          <w:spacing w:val="-4"/>
          <w:sz w:val="24"/>
        </w:rPr>
        <w:t>用火、用电有无违章情况，临时用火、用电应经单位</w:t>
      </w:r>
      <w:r>
        <w:rPr>
          <w:sz w:val="24"/>
        </w:rPr>
        <w:t>主要负责人审批同意；</w:t>
      </w:r>
    </w:p>
    <w:p>
      <w:pPr>
        <w:pStyle w:val="ListParagraph"/>
        <w:numPr>
          <w:ilvl w:val="0"/>
          <w:numId w:val="3"/>
        </w:numPr>
        <w:tabs>
          <w:tab w:pos="1162" w:val="left" w:leader="none"/>
        </w:tabs>
        <w:spacing w:line="312" w:lineRule="auto" w:before="2" w:after="0"/>
        <w:ind w:left="800" w:right="690" w:firstLine="0"/>
        <w:jc w:val="left"/>
        <w:rPr>
          <w:sz w:val="24"/>
        </w:rPr>
      </w:pPr>
      <w:r>
        <w:rPr>
          <w:spacing w:val="-1"/>
          <w:sz w:val="24"/>
        </w:rPr>
        <w:t>重点工种人员以及其他员工消防知识的掌握情况； </w:t>
      </w:r>
      <w:r>
        <w:rPr>
          <w:sz w:val="24"/>
        </w:rPr>
        <w:t>(7)消防安全重点部位的管理；</w:t>
      </w:r>
    </w:p>
    <w:p>
      <w:pPr>
        <w:pStyle w:val="ListParagraph"/>
        <w:numPr>
          <w:ilvl w:val="0"/>
          <w:numId w:val="4"/>
        </w:numPr>
        <w:tabs>
          <w:tab w:pos="1162" w:val="left" w:leader="none"/>
        </w:tabs>
        <w:spacing w:line="312" w:lineRule="auto" w:before="0" w:after="0"/>
        <w:ind w:left="320" w:right="459" w:firstLine="480"/>
        <w:jc w:val="left"/>
        <w:rPr>
          <w:sz w:val="24"/>
        </w:rPr>
      </w:pPr>
      <w:r>
        <w:rPr>
          <w:spacing w:val="-3"/>
          <w:sz w:val="24"/>
        </w:rPr>
        <w:t>易燃易爆危险物品场所防火、防爆和防雷措施的落实</w:t>
      </w:r>
      <w:r>
        <w:rPr>
          <w:sz w:val="24"/>
        </w:rPr>
        <w:t>情况；</w:t>
      </w:r>
    </w:p>
    <w:p>
      <w:pPr>
        <w:pStyle w:val="ListParagraph"/>
        <w:numPr>
          <w:ilvl w:val="0"/>
          <w:numId w:val="4"/>
        </w:numPr>
        <w:tabs>
          <w:tab w:pos="1162" w:val="left" w:leader="none"/>
        </w:tabs>
        <w:spacing w:line="312" w:lineRule="auto" w:before="0" w:after="0"/>
        <w:ind w:left="320" w:right="459" w:firstLine="480"/>
        <w:jc w:val="left"/>
        <w:rPr>
          <w:sz w:val="24"/>
        </w:rPr>
      </w:pPr>
      <w:r>
        <w:rPr>
          <w:spacing w:val="-3"/>
          <w:sz w:val="24"/>
        </w:rPr>
        <w:t>根据要求落实消防控制室标准化建设，将消防控制室</w:t>
      </w:r>
      <w:r>
        <w:rPr>
          <w:sz w:val="24"/>
        </w:rPr>
        <w:t>值班情况、消防控制设备运行情况进行记录；</w:t>
      </w:r>
    </w:p>
    <w:p>
      <w:pPr>
        <w:pStyle w:val="ListParagraph"/>
        <w:numPr>
          <w:ilvl w:val="0"/>
          <w:numId w:val="4"/>
        </w:numPr>
        <w:tabs>
          <w:tab w:pos="1286" w:val="left" w:leader="none"/>
        </w:tabs>
        <w:spacing w:line="312" w:lineRule="auto" w:before="2" w:after="0"/>
        <w:ind w:left="320" w:right="455" w:firstLine="480"/>
        <w:jc w:val="left"/>
        <w:rPr>
          <w:sz w:val="24"/>
        </w:rPr>
      </w:pPr>
      <w:r>
        <w:rPr>
          <w:spacing w:val="4"/>
          <w:sz w:val="24"/>
        </w:rPr>
        <w:t>防火巡查情况；火灾隐患的整改以及防范措施的落</w:t>
      </w:r>
      <w:r>
        <w:rPr>
          <w:sz w:val="24"/>
        </w:rPr>
        <w:t>实情况；</w:t>
      </w:r>
    </w:p>
    <w:p>
      <w:pPr>
        <w:pStyle w:val="ListParagraph"/>
        <w:numPr>
          <w:ilvl w:val="0"/>
          <w:numId w:val="4"/>
        </w:numPr>
        <w:tabs>
          <w:tab w:pos="1282" w:val="left" w:leader="none"/>
        </w:tabs>
        <w:spacing w:line="312" w:lineRule="auto" w:before="0" w:after="0"/>
        <w:ind w:left="800" w:right="1290" w:firstLine="0"/>
        <w:jc w:val="left"/>
        <w:rPr>
          <w:sz w:val="24"/>
        </w:rPr>
      </w:pPr>
      <w:r>
        <w:rPr>
          <w:spacing w:val="-1"/>
          <w:sz w:val="24"/>
        </w:rPr>
        <w:t>消防安全标志设置情况和完好、有效情况； </w:t>
      </w:r>
      <w:r>
        <w:rPr>
          <w:sz w:val="24"/>
        </w:rPr>
        <w:t>(12)其他需要检查的内容。</w:t>
      </w:r>
    </w:p>
    <w:p>
      <w:pPr>
        <w:spacing w:after="0" w:line="312" w:lineRule="auto"/>
        <w:jc w:val="left"/>
        <w:rPr>
          <w:sz w:val="24"/>
        </w:rPr>
        <w:sectPr>
          <w:pgSz w:w="8400" w:h="11910"/>
          <w:pgMar w:header="0" w:footer="875" w:top="1100" w:bottom="1060" w:left="700" w:right="560"/>
        </w:sectPr>
      </w:pPr>
    </w:p>
    <w:p>
      <w:pPr>
        <w:pStyle w:val="Heading3"/>
        <w:spacing w:before="108"/>
        <w:rPr>
          <w:rFonts w:ascii="黑体" w:eastAsia="黑体" w:hint="eastAsia"/>
        </w:rPr>
      </w:pPr>
      <w:bookmarkStart w:name="_bookmark14" w:id="15"/>
      <w:bookmarkEnd w:id="15"/>
      <w:r>
        <w:rPr>
          <w:b w:val="0"/>
        </w:rPr>
      </w:r>
      <w:r>
        <w:rPr>
          <w:rFonts w:ascii="黑体" w:eastAsia="黑体" w:hint="eastAsia"/>
        </w:rPr>
        <w:t>(二)消防宣传与培训制度</w:t>
      </w:r>
    </w:p>
    <w:p>
      <w:pPr>
        <w:pStyle w:val="BodyText"/>
        <w:spacing w:before="213"/>
        <w:ind w:left="769"/>
      </w:pPr>
      <w:r>
        <w:rPr/>
        <w:t>1、应至少每半年组织一次对从业人员进行集中消防培训；</w:t>
      </w:r>
    </w:p>
    <w:p>
      <w:pPr>
        <w:pStyle w:val="BodyText"/>
        <w:spacing w:before="91"/>
        <w:ind w:left="769"/>
      </w:pPr>
      <w:r>
        <w:rPr/>
        <w:t>2、应对新上岗员工和有关从业人员进行上岗前的消防培训；</w:t>
      </w:r>
    </w:p>
    <w:p>
      <w:pPr>
        <w:pStyle w:val="BodyText"/>
        <w:spacing w:before="94"/>
        <w:ind w:left="800"/>
      </w:pPr>
      <w:r>
        <w:rPr/>
        <w:t>3、消防培训应包括下列内容：</w:t>
      </w:r>
    </w:p>
    <w:p>
      <w:pPr>
        <w:pStyle w:val="ListParagraph"/>
        <w:numPr>
          <w:ilvl w:val="0"/>
          <w:numId w:val="5"/>
        </w:numPr>
        <w:tabs>
          <w:tab w:pos="1162" w:val="left" w:leader="none"/>
        </w:tabs>
        <w:spacing w:line="312" w:lineRule="auto" w:before="93" w:after="0"/>
        <w:ind w:left="320" w:right="459" w:firstLine="480"/>
        <w:jc w:val="left"/>
        <w:rPr>
          <w:sz w:val="24"/>
        </w:rPr>
      </w:pPr>
      <w:r>
        <w:rPr>
          <w:spacing w:val="-4"/>
          <w:sz w:val="24"/>
        </w:rPr>
        <w:t>有关消防法规、消防安全管理制度、保证消防安全的</w:t>
      </w:r>
      <w:r>
        <w:rPr>
          <w:sz w:val="24"/>
        </w:rPr>
        <w:t>操作规程等；</w:t>
      </w:r>
    </w:p>
    <w:p>
      <w:pPr>
        <w:pStyle w:val="ListParagraph"/>
        <w:numPr>
          <w:ilvl w:val="0"/>
          <w:numId w:val="5"/>
        </w:numPr>
        <w:tabs>
          <w:tab w:pos="1162" w:val="left" w:leader="none"/>
        </w:tabs>
        <w:spacing w:line="307" w:lineRule="exact" w:before="0" w:after="0"/>
        <w:ind w:left="1161" w:right="0" w:hanging="362"/>
        <w:jc w:val="left"/>
        <w:rPr>
          <w:sz w:val="24"/>
        </w:rPr>
      </w:pPr>
      <w:r>
        <w:rPr>
          <w:sz w:val="24"/>
        </w:rPr>
        <w:t>本单位、本岗位的火灾危险性和防火措施；</w:t>
      </w:r>
    </w:p>
    <w:p>
      <w:pPr>
        <w:pStyle w:val="ListParagraph"/>
        <w:numPr>
          <w:ilvl w:val="0"/>
          <w:numId w:val="5"/>
        </w:numPr>
        <w:tabs>
          <w:tab w:pos="1116" w:val="left" w:leader="none"/>
        </w:tabs>
        <w:spacing w:line="312" w:lineRule="auto" w:before="94" w:after="0"/>
        <w:ind w:left="800" w:right="469" w:hanging="32"/>
        <w:jc w:val="left"/>
        <w:rPr>
          <w:sz w:val="24"/>
        </w:rPr>
      </w:pPr>
      <w:r>
        <w:rPr>
          <w:spacing w:val="-17"/>
          <w:sz w:val="24"/>
        </w:rPr>
        <w:t>建筑消防设施、灭火器材的性能、使用方法和操作规程; </w:t>
      </w:r>
      <w:r>
        <w:rPr>
          <w:spacing w:val="3"/>
          <w:sz w:val="24"/>
        </w:rPr>
        <w:t>(4</w:t>
      </w:r>
      <w:r>
        <w:rPr>
          <w:spacing w:val="7"/>
          <w:sz w:val="24"/>
        </w:rPr>
        <w:t>)报火警、扑救初起火灾、应急疏散和自救逃生的知</w:t>
      </w:r>
    </w:p>
    <w:p>
      <w:pPr>
        <w:pStyle w:val="BodyText"/>
        <w:spacing w:line="307" w:lineRule="exact"/>
        <w:ind w:left="320"/>
      </w:pPr>
      <w:r>
        <w:rPr/>
        <w:t>识、技能。</w:t>
      </w:r>
    </w:p>
    <w:p>
      <w:pPr>
        <w:pStyle w:val="Heading3"/>
        <w:spacing w:before="213"/>
        <w:rPr>
          <w:rFonts w:ascii="黑体" w:eastAsia="黑体" w:hint="eastAsia"/>
        </w:rPr>
      </w:pPr>
      <w:bookmarkStart w:name="_bookmark15" w:id="16"/>
      <w:bookmarkEnd w:id="16"/>
      <w:r>
        <w:rPr>
          <w:b w:val="0"/>
        </w:rPr>
      </w:r>
      <w:r>
        <w:rPr>
          <w:rFonts w:ascii="黑体" w:eastAsia="黑体" w:hint="eastAsia"/>
        </w:rPr>
        <w:t>(三)用火、动火安全管理制度</w:t>
      </w:r>
    </w:p>
    <w:p>
      <w:pPr>
        <w:pStyle w:val="BodyText"/>
        <w:spacing w:line="312" w:lineRule="auto" w:before="211"/>
        <w:ind w:left="320" w:right="455" w:firstLine="480"/>
        <w:jc w:val="both"/>
      </w:pPr>
      <w:r>
        <w:rPr/>
        <w:t>1、应建立用火、动火安全管理制度，并应明确用火、动管理的责任部门和责任人，用火、动火的审批范围、程序和要求以及电气焊工的岗位资格及其职责要求等内容，单位内部动火、用焊要单位主要负责人审批同意后消防安全主管部门开具动火证方可实施，动火、用火的现场必须要明确现场监护人和安全措施；</w:t>
      </w:r>
    </w:p>
    <w:p>
      <w:pPr>
        <w:pStyle w:val="BodyText"/>
        <w:spacing w:before="2"/>
        <w:ind w:left="800"/>
      </w:pPr>
      <w:r>
        <w:rPr/>
        <w:t>2、用火、动火安全管理应符合下列要求：</w:t>
      </w:r>
    </w:p>
    <w:p>
      <w:pPr>
        <w:pStyle w:val="ListParagraph"/>
        <w:numPr>
          <w:ilvl w:val="0"/>
          <w:numId w:val="6"/>
        </w:numPr>
        <w:tabs>
          <w:tab w:pos="1162" w:val="left" w:leader="none"/>
        </w:tabs>
        <w:spacing w:line="314" w:lineRule="auto" w:before="93" w:after="0"/>
        <w:ind w:left="320" w:right="459" w:firstLine="480"/>
        <w:jc w:val="left"/>
        <w:rPr>
          <w:sz w:val="24"/>
        </w:rPr>
      </w:pPr>
      <w:r>
        <w:rPr>
          <w:spacing w:val="-3"/>
          <w:sz w:val="24"/>
        </w:rPr>
        <w:t>需要动火施工的区域与使用、营业区之间应进行防火</w:t>
      </w:r>
      <w:r>
        <w:rPr>
          <w:sz w:val="24"/>
        </w:rPr>
        <w:t>分隔；</w:t>
      </w:r>
    </w:p>
    <w:p>
      <w:pPr>
        <w:pStyle w:val="ListParagraph"/>
        <w:numPr>
          <w:ilvl w:val="0"/>
          <w:numId w:val="6"/>
        </w:numPr>
        <w:tabs>
          <w:tab w:pos="1171" w:val="left" w:leader="none"/>
        </w:tabs>
        <w:spacing w:line="312" w:lineRule="auto" w:before="0" w:after="0"/>
        <w:ind w:left="320" w:right="455" w:firstLine="480"/>
        <w:jc w:val="both"/>
        <w:rPr>
          <w:sz w:val="24"/>
        </w:rPr>
      </w:pPr>
      <w:r>
        <w:rPr>
          <w:spacing w:val="8"/>
          <w:sz w:val="24"/>
        </w:rPr>
        <w:t>电气焊等明火作业前实施动火的部门和人员应按照</w:t>
      </w:r>
      <w:r>
        <w:rPr>
          <w:sz w:val="24"/>
        </w:rPr>
        <w:t>制度规定办理动火审批手续，清除易燃可燃物，配置灭火器材，落实现场监护人和安全措施，在确认无火灾、爆炸危险</w:t>
      </w:r>
    </w:p>
    <w:p>
      <w:pPr>
        <w:spacing w:after="0" w:line="312" w:lineRule="auto"/>
        <w:jc w:val="both"/>
        <w:rPr>
          <w:sz w:val="24"/>
        </w:rPr>
        <w:sectPr>
          <w:pgSz w:w="8400" w:h="11910"/>
          <w:pgMar w:header="0" w:footer="834" w:top="1100" w:bottom="1020" w:left="700" w:right="560"/>
        </w:sectPr>
      </w:pPr>
    </w:p>
    <w:p>
      <w:pPr>
        <w:pStyle w:val="BodyText"/>
        <w:spacing w:before="108"/>
        <w:ind w:left="320"/>
      </w:pPr>
      <w:r>
        <w:rPr/>
        <w:t>后方可动火施工；</w:t>
      </w:r>
    </w:p>
    <w:p>
      <w:pPr>
        <w:pStyle w:val="ListParagraph"/>
        <w:numPr>
          <w:ilvl w:val="0"/>
          <w:numId w:val="6"/>
        </w:numPr>
        <w:tabs>
          <w:tab w:pos="1126" w:val="left" w:leader="none"/>
        </w:tabs>
        <w:spacing w:line="312" w:lineRule="auto" w:before="93" w:after="0"/>
        <w:ind w:left="800" w:right="453" w:hanging="24"/>
        <w:jc w:val="left"/>
        <w:rPr>
          <w:sz w:val="24"/>
        </w:rPr>
      </w:pPr>
      <w:r>
        <w:rPr>
          <w:spacing w:val="-18"/>
          <w:sz w:val="24"/>
        </w:rPr>
        <w:t>商店、公共娱乐场所禁止在营业时间进行动火动焊施工; </w:t>
      </w:r>
      <w:r>
        <w:rPr>
          <w:sz w:val="24"/>
        </w:rPr>
        <w:t>(4)公众聚集场所严禁使用冷、热焰火；</w:t>
      </w:r>
    </w:p>
    <w:p>
      <w:pPr>
        <w:pStyle w:val="ListParagraph"/>
        <w:numPr>
          <w:ilvl w:val="0"/>
          <w:numId w:val="7"/>
        </w:numPr>
        <w:tabs>
          <w:tab w:pos="1162" w:val="left" w:leader="none"/>
        </w:tabs>
        <w:spacing w:line="312" w:lineRule="auto" w:before="0" w:after="0"/>
        <w:ind w:left="320" w:right="459" w:firstLine="480"/>
        <w:jc w:val="left"/>
        <w:rPr>
          <w:sz w:val="24"/>
        </w:rPr>
      </w:pPr>
      <w:r>
        <w:rPr>
          <w:spacing w:val="-2"/>
          <w:sz w:val="24"/>
        </w:rPr>
        <w:t>不应使用明火照明或取暖，如特殊情况需要时应有专</w:t>
      </w:r>
      <w:r>
        <w:rPr>
          <w:sz w:val="24"/>
        </w:rPr>
        <w:t>人看护；</w:t>
      </w:r>
    </w:p>
    <w:p>
      <w:pPr>
        <w:pStyle w:val="ListParagraph"/>
        <w:numPr>
          <w:ilvl w:val="0"/>
          <w:numId w:val="7"/>
        </w:numPr>
        <w:tabs>
          <w:tab w:pos="1162" w:val="left" w:leader="none"/>
        </w:tabs>
        <w:spacing w:line="312" w:lineRule="auto" w:before="0" w:after="0"/>
        <w:ind w:left="320" w:right="459" w:firstLine="480"/>
        <w:jc w:val="left"/>
        <w:rPr>
          <w:sz w:val="24"/>
        </w:rPr>
      </w:pPr>
      <w:r>
        <w:rPr>
          <w:spacing w:val="-4"/>
          <w:sz w:val="24"/>
        </w:rPr>
        <w:t>炉火、烟道等取暖设施与可燃物之间应采取防火隔热</w:t>
      </w:r>
      <w:r>
        <w:rPr>
          <w:sz w:val="24"/>
        </w:rPr>
        <w:t>措施；</w:t>
      </w:r>
    </w:p>
    <w:p>
      <w:pPr>
        <w:pStyle w:val="ListParagraph"/>
        <w:numPr>
          <w:ilvl w:val="0"/>
          <w:numId w:val="7"/>
        </w:numPr>
        <w:tabs>
          <w:tab w:pos="1162" w:val="left" w:leader="none"/>
        </w:tabs>
        <w:spacing w:line="312" w:lineRule="auto" w:before="2" w:after="0"/>
        <w:ind w:left="320" w:right="459" w:firstLine="480"/>
        <w:jc w:val="left"/>
        <w:rPr>
          <w:sz w:val="24"/>
        </w:rPr>
      </w:pPr>
      <w:r>
        <w:rPr>
          <w:spacing w:val="-4"/>
          <w:sz w:val="24"/>
        </w:rPr>
        <w:t>旅馆、餐饮场所、医院、学校等厨房的烟道应至少每</w:t>
      </w:r>
      <w:r>
        <w:rPr>
          <w:sz w:val="24"/>
        </w:rPr>
        <w:t>季度清洗一次；</w:t>
      </w:r>
    </w:p>
    <w:p>
      <w:pPr>
        <w:pStyle w:val="ListParagraph"/>
        <w:numPr>
          <w:ilvl w:val="0"/>
          <w:numId w:val="7"/>
        </w:numPr>
        <w:tabs>
          <w:tab w:pos="1162" w:val="left" w:leader="none"/>
        </w:tabs>
        <w:spacing w:line="307" w:lineRule="exact" w:before="0" w:after="0"/>
        <w:ind w:left="1161" w:right="0" w:hanging="362"/>
        <w:jc w:val="left"/>
        <w:rPr>
          <w:sz w:val="24"/>
        </w:rPr>
      </w:pPr>
      <w:r>
        <w:rPr>
          <w:sz w:val="24"/>
        </w:rPr>
        <w:t>厨房燃油、燃气管道应经常检查、检测和保养。</w:t>
      </w:r>
    </w:p>
    <w:p>
      <w:pPr>
        <w:pStyle w:val="Heading3"/>
        <w:spacing w:before="214"/>
        <w:rPr>
          <w:rFonts w:ascii="黑体" w:eastAsia="黑体" w:hint="eastAsia"/>
        </w:rPr>
      </w:pPr>
      <w:bookmarkStart w:name="_bookmark16" w:id="17"/>
      <w:bookmarkEnd w:id="17"/>
      <w:r>
        <w:rPr>
          <w:b w:val="0"/>
        </w:rPr>
      </w:r>
      <w:r>
        <w:rPr>
          <w:rFonts w:ascii="黑体" w:eastAsia="黑体" w:hint="eastAsia"/>
        </w:rPr>
        <w:t>(四)易燃易爆化学物品管理制度</w:t>
      </w:r>
    </w:p>
    <w:p>
      <w:pPr>
        <w:pStyle w:val="BodyText"/>
        <w:spacing w:before="211"/>
        <w:ind w:left="800"/>
      </w:pPr>
      <w:r>
        <w:rPr/>
        <w:t>1、应明确易燃易爆化学物品管理的责任部门和责任人；</w:t>
      </w:r>
    </w:p>
    <w:p>
      <w:pPr>
        <w:pStyle w:val="BodyText"/>
        <w:spacing w:before="93"/>
        <w:ind w:left="800"/>
      </w:pPr>
      <w:r>
        <w:rPr/>
        <w:t>2、人员密集场所严禁生产、储存易燃易爆化学物品；</w:t>
      </w:r>
    </w:p>
    <w:p>
      <w:pPr>
        <w:pStyle w:val="BodyText"/>
        <w:spacing w:line="312" w:lineRule="auto" w:before="94"/>
        <w:ind w:left="320" w:right="455" w:firstLine="480"/>
        <w:jc w:val="both"/>
      </w:pPr>
      <w:r>
        <w:rPr/>
        <w:t>3、人员密集场所需要使用易燃易爆化学物品时，应根据需要限量使用，存储量不应超过一天的使用量，且应由专人管理、登记。</w:t>
      </w:r>
    </w:p>
    <w:p>
      <w:pPr>
        <w:pStyle w:val="Heading3"/>
        <w:spacing w:before="120"/>
        <w:rPr>
          <w:rFonts w:ascii="黑体" w:eastAsia="黑体" w:hint="eastAsia"/>
        </w:rPr>
      </w:pPr>
      <w:bookmarkStart w:name="_bookmark17" w:id="18"/>
      <w:bookmarkEnd w:id="18"/>
      <w:r>
        <w:rPr>
          <w:b w:val="0"/>
        </w:rPr>
      </w:r>
      <w:r>
        <w:rPr>
          <w:rFonts w:ascii="黑体" w:eastAsia="黑体" w:hint="eastAsia"/>
        </w:rPr>
        <w:t>(五)消防安全重点部位管理制度</w:t>
      </w:r>
    </w:p>
    <w:p>
      <w:pPr>
        <w:pStyle w:val="BodyText"/>
        <w:spacing w:line="312" w:lineRule="auto" w:before="211"/>
        <w:ind w:left="320" w:right="426" w:firstLine="456"/>
        <w:jc w:val="both"/>
      </w:pPr>
      <w:r>
        <w:rPr>
          <w:spacing w:val="-3"/>
        </w:rPr>
        <w:t>1</w:t>
      </w:r>
      <w:r>
        <w:rPr>
          <w:spacing w:val="-10"/>
        </w:rPr>
        <w:t>、人员集中的厅(室)以及储油间、变配电室、锅炉房、厨</w:t>
      </w:r>
      <w:r>
        <w:rPr>
          <w:spacing w:val="-17"/>
        </w:rPr>
        <w:t>房、空调机房、资料库、可燃物品仓库、化学实验室等应确定为</w:t>
      </w:r>
      <w:r>
        <w:rPr>
          <w:spacing w:val="-13"/>
        </w:rPr>
        <w:t>消防安全重点部位，并明确消防安全管理的责任部门和责任人， </w:t>
      </w:r>
      <w:r>
        <w:rPr>
          <w:spacing w:val="-12"/>
        </w:rPr>
        <w:t>重点部位消防安全管理的责任人员信息应上墙公示；</w:t>
      </w:r>
    </w:p>
    <w:p>
      <w:pPr>
        <w:pStyle w:val="BodyText"/>
        <w:spacing w:before="3"/>
        <w:ind w:left="800"/>
      </w:pPr>
      <w:r>
        <w:rPr/>
        <w:t>2、应根据实际需要配备相应的灭火器材、装备和个人防</w:t>
      </w:r>
    </w:p>
    <w:p>
      <w:pPr>
        <w:spacing w:after="0"/>
        <w:sectPr>
          <w:pgSz w:w="8400" w:h="11910"/>
          <w:pgMar w:header="0" w:footer="875" w:top="1100" w:bottom="1060" w:left="700" w:right="560"/>
        </w:sectPr>
      </w:pPr>
    </w:p>
    <w:p>
      <w:pPr>
        <w:pStyle w:val="BodyText"/>
        <w:spacing w:before="108"/>
        <w:ind w:left="320"/>
      </w:pPr>
      <w:r>
        <w:rPr/>
        <w:t>护器材；</w:t>
      </w:r>
    </w:p>
    <w:p>
      <w:pPr>
        <w:pStyle w:val="BodyText"/>
        <w:spacing w:before="93"/>
        <w:ind w:left="800"/>
      </w:pPr>
      <w:r>
        <w:rPr/>
        <w:t>3、应制定和完善事故应急处置操作程序；</w:t>
      </w:r>
    </w:p>
    <w:p>
      <w:pPr>
        <w:pStyle w:val="BodyText"/>
        <w:spacing w:before="91"/>
        <w:ind w:left="800"/>
      </w:pPr>
      <w:r>
        <w:rPr/>
        <w:t>4、应列入防火巡查范围，作为定期检查的重点。</w:t>
      </w:r>
    </w:p>
    <w:p>
      <w:pPr>
        <w:pStyle w:val="Heading3"/>
        <w:spacing w:before="214"/>
        <w:rPr>
          <w:rFonts w:ascii="黑体" w:eastAsia="黑体" w:hint="eastAsia"/>
        </w:rPr>
      </w:pPr>
      <w:bookmarkStart w:name="_bookmark18" w:id="19"/>
      <w:bookmarkEnd w:id="19"/>
      <w:r>
        <w:rPr>
          <w:b w:val="0"/>
        </w:rPr>
      </w:r>
      <w:r>
        <w:rPr>
          <w:rFonts w:ascii="黑体" w:eastAsia="黑体" w:hint="eastAsia"/>
        </w:rPr>
        <w:t>(六)制定灭火和应急疏散预案及演练制度</w:t>
      </w:r>
    </w:p>
    <w:p>
      <w:pPr>
        <w:pStyle w:val="BodyText"/>
        <w:spacing w:line="312" w:lineRule="auto" w:before="213"/>
        <w:ind w:left="320" w:right="455" w:firstLine="480"/>
        <w:jc w:val="both"/>
      </w:pPr>
      <w:r>
        <w:rPr/>
        <w:t>重点单位应制定符合本单位实际的灭火和应急疏散预案及演练制定，主动联系辖区消防站配合指导预案制作和开展演练。</w:t>
      </w:r>
    </w:p>
    <w:p>
      <w:pPr>
        <w:pStyle w:val="BodyText"/>
        <w:spacing w:before="1"/>
        <w:ind w:left="800"/>
      </w:pPr>
      <w:r>
        <w:rPr/>
        <w:t>1、预案应包括下列内容：</w:t>
      </w:r>
    </w:p>
    <w:p>
      <w:pPr>
        <w:pStyle w:val="ListParagraph"/>
        <w:numPr>
          <w:ilvl w:val="0"/>
          <w:numId w:val="8"/>
        </w:numPr>
        <w:tabs>
          <w:tab w:pos="1228" w:val="left" w:leader="none"/>
        </w:tabs>
        <w:spacing w:line="312" w:lineRule="auto" w:before="91" w:after="0"/>
        <w:ind w:left="320" w:right="459" w:firstLine="427"/>
        <w:jc w:val="left"/>
        <w:rPr>
          <w:sz w:val="24"/>
        </w:rPr>
      </w:pPr>
      <w:r>
        <w:rPr>
          <w:spacing w:val="-9"/>
          <w:sz w:val="24"/>
        </w:rPr>
        <w:t>明确火灾现场通信联络、灭火、疏散、救护、保卫等</w:t>
      </w:r>
      <w:r>
        <w:rPr>
          <w:sz w:val="24"/>
        </w:rPr>
        <w:t>任务的负责人。规模较大的人员密集场所应由专门机构负  责，组建各职能小组，并明确负责人、组成人员及其职责；</w:t>
      </w:r>
    </w:p>
    <w:p>
      <w:pPr>
        <w:pStyle w:val="ListParagraph"/>
        <w:numPr>
          <w:ilvl w:val="0"/>
          <w:numId w:val="8"/>
        </w:numPr>
        <w:tabs>
          <w:tab w:pos="1228" w:val="left" w:leader="none"/>
        </w:tabs>
        <w:spacing w:line="240" w:lineRule="auto" w:before="1" w:after="0"/>
        <w:ind w:left="1227" w:right="0" w:hanging="481"/>
        <w:jc w:val="left"/>
        <w:rPr>
          <w:sz w:val="24"/>
        </w:rPr>
      </w:pPr>
      <w:r>
        <w:rPr>
          <w:sz w:val="24"/>
        </w:rPr>
        <w:t>火警处置程序；</w:t>
      </w:r>
    </w:p>
    <w:p>
      <w:pPr>
        <w:pStyle w:val="ListParagraph"/>
        <w:numPr>
          <w:ilvl w:val="0"/>
          <w:numId w:val="8"/>
        </w:numPr>
        <w:tabs>
          <w:tab w:pos="1228" w:val="left" w:leader="none"/>
        </w:tabs>
        <w:spacing w:line="240" w:lineRule="auto" w:before="93" w:after="0"/>
        <w:ind w:left="1227" w:right="0" w:hanging="481"/>
        <w:jc w:val="left"/>
        <w:rPr>
          <w:sz w:val="24"/>
        </w:rPr>
      </w:pPr>
      <w:r>
        <w:rPr>
          <w:sz w:val="24"/>
        </w:rPr>
        <w:t>应急疏散的组织程序和措施；</w:t>
      </w:r>
    </w:p>
    <w:p>
      <w:pPr>
        <w:pStyle w:val="ListParagraph"/>
        <w:numPr>
          <w:ilvl w:val="0"/>
          <w:numId w:val="8"/>
        </w:numPr>
        <w:tabs>
          <w:tab w:pos="1228" w:val="left" w:leader="none"/>
        </w:tabs>
        <w:spacing w:line="240" w:lineRule="auto" w:before="94" w:after="0"/>
        <w:ind w:left="1227" w:right="0" w:hanging="481"/>
        <w:jc w:val="left"/>
        <w:rPr>
          <w:sz w:val="24"/>
        </w:rPr>
      </w:pPr>
      <w:r>
        <w:rPr>
          <w:sz w:val="24"/>
        </w:rPr>
        <w:t>扑救初起火灾的程序和措施；</w:t>
      </w:r>
    </w:p>
    <w:p>
      <w:pPr>
        <w:pStyle w:val="ListParagraph"/>
        <w:numPr>
          <w:ilvl w:val="0"/>
          <w:numId w:val="8"/>
        </w:numPr>
        <w:tabs>
          <w:tab w:pos="1228" w:val="left" w:leader="none"/>
        </w:tabs>
        <w:spacing w:line="312" w:lineRule="auto" w:before="91" w:after="0"/>
        <w:ind w:left="320" w:right="459" w:firstLine="427"/>
        <w:jc w:val="left"/>
        <w:rPr>
          <w:sz w:val="24"/>
        </w:rPr>
      </w:pPr>
      <w:r>
        <w:rPr>
          <w:spacing w:val="-10"/>
          <w:sz w:val="24"/>
        </w:rPr>
        <w:t>通信联络、安全防护和人员救护的组织与调度程序和</w:t>
      </w:r>
      <w:r>
        <w:rPr>
          <w:sz w:val="24"/>
        </w:rPr>
        <w:t>保障措施。</w:t>
      </w:r>
    </w:p>
    <w:p>
      <w:pPr>
        <w:pStyle w:val="BodyText"/>
        <w:spacing w:before="2"/>
        <w:ind w:left="800"/>
      </w:pPr>
      <w:r>
        <w:rPr/>
        <w:t>2、组织机构：</w:t>
      </w:r>
    </w:p>
    <w:p>
      <w:pPr>
        <w:pStyle w:val="ListParagraph"/>
        <w:numPr>
          <w:ilvl w:val="0"/>
          <w:numId w:val="9"/>
        </w:numPr>
        <w:tabs>
          <w:tab w:pos="1228" w:val="left" w:leader="none"/>
        </w:tabs>
        <w:spacing w:line="312" w:lineRule="auto" w:before="91" w:after="0"/>
        <w:ind w:left="320" w:right="455" w:firstLine="427"/>
        <w:jc w:val="both"/>
        <w:rPr>
          <w:sz w:val="24"/>
        </w:rPr>
      </w:pPr>
      <w:r>
        <w:rPr>
          <w:spacing w:val="5"/>
          <w:sz w:val="24"/>
        </w:rPr>
        <w:t>消防安全责任人或消防安全管理人担负消防救援队</w:t>
      </w:r>
      <w:r>
        <w:rPr>
          <w:sz w:val="24"/>
        </w:rPr>
        <w:t>伍到达火灾现场之前的指挥职责，组织开展灭火和应急疏散等工作。规模较大的单位可以成立火灾事故应急指挥机构。</w:t>
      </w:r>
    </w:p>
    <w:p>
      <w:pPr>
        <w:pStyle w:val="ListParagraph"/>
        <w:numPr>
          <w:ilvl w:val="0"/>
          <w:numId w:val="9"/>
        </w:numPr>
        <w:tabs>
          <w:tab w:pos="1228" w:val="left" w:leader="none"/>
        </w:tabs>
        <w:spacing w:line="312" w:lineRule="auto" w:before="1" w:after="0"/>
        <w:ind w:left="320" w:right="455" w:firstLine="427"/>
        <w:jc w:val="both"/>
        <w:rPr>
          <w:sz w:val="24"/>
        </w:rPr>
      </w:pPr>
      <w:r>
        <w:rPr>
          <w:spacing w:val="5"/>
          <w:sz w:val="24"/>
        </w:rPr>
        <w:t>灭火和应急疏散各项职责应由当班的消防安全管理</w:t>
      </w:r>
      <w:r>
        <w:rPr>
          <w:sz w:val="24"/>
        </w:rPr>
        <w:t>人、部门主管人员、消防控制室值班人员、保安人员、义务消防队承担。规模较大的单位可以成立各职能小组，由消防</w:t>
      </w:r>
    </w:p>
    <w:p>
      <w:pPr>
        <w:spacing w:after="0" w:line="312" w:lineRule="auto"/>
        <w:jc w:val="both"/>
        <w:rPr>
          <w:sz w:val="24"/>
        </w:rPr>
        <w:sectPr>
          <w:pgSz w:w="8400" w:h="11910"/>
          <w:pgMar w:header="0" w:footer="834" w:top="1100" w:bottom="1020" w:left="700" w:right="560"/>
        </w:sectPr>
      </w:pPr>
    </w:p>
    <w:p>
      <w:pPr>
        <w:pStyle w:val="BodyText"/>
        <w:spacing w:line="312" w:lineRule="auto" w:before="108"/>
        <w:ind w:left="320" w:right="403"/>
        <w:jc w:val="right"/>
      </w:pPr>
      <w:r>
        <w:rPr/>
        <w:t>安全管理人、部门主管人员、消防控制室值班人员、保安人</w:t>
      </w:r>
      <w:r>
        <w:rPr>
          <w:spacing w:val="-10"/>
        </w:rPr>
        <w:t>员、义务消防队及其他在岗的从业人员组成。主要职责如下： </w:t>
      </w:r>
      <w:r>
        <w:rPr>
          <w:spacing w:val="4"/>
        </w:rPr>
        <w:t>一一通信联络：负责与消防安全责任人和当地消防机构</w:t>
      </w:r>
    </w:p>
    <w:p>
      <w:pPr>
        <w:pStyle w:val="BodyText"/>
        <w:spacing w:before="1"/>
        <w:ind w:left="320"/>
      </w:pPr>
      <w:r>
        <w:rPr/>
        <w:t>之间的通讯和联络；</w:t>
      </w:r>
    </w:p>
    <w:p>
      <w:pPr>
        <w:pStyle w:val="BodyText"/>
        <w:spacing w:line="312" w:lineRule="auto" w:before="93"/>
        <w:ind w:left="320" w:right="455" w:firstLine="480"/>
      </w:pPr>
      <w:r>
        <w:rPr/>
        <w:t>一一灭火：发生火灾立即利用消防器材、设施就地进行火灾扑救；</w:t>
      </w:r>
    </w:p>
    <w:p>
      <w:pPr>
        <w:pStyle w:val="BodyText"/>
        <w:spacing w:line="314" w:lineRule="auto"/>
        <w:ind w:left="800" w:right="1770"/>
      </w:pPr>
      <w:r>
        <w:rPr/>
        <w:t>一一疏散：负责引导人员正确疏散、逃生； 一一救护：协助抢救、护送受伤人员；</w:t>
      </w:r>
    </w:p>
    <w:p>
      <w:pPr>
        <w:pStyle w:val="BodyText"/>
        <w:spacing w:line="312" w:lineRule="auto"/>
        <w:ind w:left="320" w:right="455" w:firstLine="480"/>
      </w:pPr>
      <w:r>
        <w:rPr/>
        <w:t>一一保卫：阻止与场所无关人员进入现场，保护火灾现场，并协助消防救援机构开展火灾调查；</w:t>
      </w:r>
    </w:p>
    <w:p>
      <w:pPr>
        <w:pStyle w:val="BodyText"/>
        <w:ind w:left="800"/>
      </w:pPr>
      <w:r>
        <w:rPr/>
        <w:t>一一后勤：负责抢险物资、器材器具的供应及后勤保障。</w:t>
      </w:r>
    </w:p>
    <w:p>
      <w:pPr>
        <w:pStyle w:val="ListParagraph"/>
        <w:numPr>
          <w:ilvl w:val="0"/>
          <w:numId w:val="9"/>
        </w:numPr>
        <w:tabs>
          <w:tab w:pos="1228" w:val="left" w:leader="none"/>
        </w:tabs>
        <w:spacing w:line="240" w:lineRule="auto" w:before="87" w:after="0"/>
        <w:ind w:left="1227" w:right="0" w:hanging="481"/>
        <w:jc w:val="left"/>
        <w:rPr>
          <w:sz w:val="24"/>
        </w:rPr>
      </w:pPr>
      <w:r>
        <w:rPr>
          <w:sz w:val="24"/>
        </w:rPr>
        <w:t>预案实施程序</w:t>
      </w:r>
    </w:p>
    <w:p>
      <w:pPr>
        <w:pStyle w:val="BodyText"/>
        <w:spacing w:line="312" w:lineRule="auto" w:before="93"/>
        <w:ind w:left="320" w:right="455" w:firstLine="480"/>
      </w:pPr>
      <w:r>
        <w:rPr/>
        <w:t>当确认发生火灾后，应立即启动灭火和应急疏散预案， 并同时开展下列工作：</w:t>
      </w:r>
    </w:p>
    <w:p>
      <w:pPr>
        <w:pStyle w:val="BodyText"/>
        <w:ind w:left="800"/>
      </w:pPr>
      <w:r>
        <w:rPr/>
        <w:t>一一向消防机构报火警；</w:t>
      </w:r>
    </w:p>
    <w:p>
      <w:pPr>
        <w:pStyle w:val="BodyText"/>
        <w:spacing w:before="94"/>
        <w:ind w:left="800"/>
      </w:pPr>
      <w:r>
        <w:rPr/>
        <w:t>一一当班人员执行预案中的相应职责；</w:t>
      </w:r>
    </w:p>
    <w:p>
      <w:pPr>
        <w:pStyle w:val="BodyText"/>
        <w:spacing w:before="93"/>
        <w:ind w:left="800"/>
      </w:pPr>
      <w:r>
        <w:rPr/>
        <w:t>一一组织和引导人员疏散，营救被困人员；</w:t>
      </w:r>
    </w:p>
    <w:p>
      <w:pPr>
        <w:pStyle w:val="BodyText"/>
        <w:spacing w:line="312" w:lineRule="auto" w:before="91"/>
        <w:ind w:left="800" w:right="1050"/>
      </w:pPr>
      <w:r>
        <w:rPr/>
        <w:t>一一使用消火栓等消防器材、设施扑救初起火灾； 一一派专人接应消防车辆到达火灾现场；</w:t>
      </w:r>
    </w:p>
    <w:p>
      <w:pPr>
        <w:pStyle w:val="BodyText"/>
        <w:spacing w:before="2"/>
        <w:ind w:left="800"/>
      </w:pPr>
      <w:r>
        <w:rPr/>
        <w:t>一一保护火灾现场，维护现场秩序。</w:t>
      </w:r>
    </w:p>
    <w:p>
      <w:pPr>
        <w:pStyle w:val="ListParagraph"/>
        <w:numPr>
          <w:ilvl w:val="0"/>
          <w:numId w:val="9"/>
        </w:numPr>
        <w:tabs>
          <w:tab w:pos="1228" w:val="left" w:leader="none"/>
        </w:tabs>
        <w:spacing w:line="240" w:lineRule="auto" w:before="91" w:after="0"/>
        <w:ind w:left="1227" w:right="0" w:hanging="481"/>
        <w:jc w:val="left"/>
        <w:rPr>
          <w:sz w:val="24"/>
        </w:rPr>
      </w:pPr>
      <w:r>
        <w:rPr>
          <w:sz w:val="24"/>
        </w:rPr>
        <w:t>预案的宣贯和完善</w:t>
      </w:r>
    </w:p>
    <w:p>
      <w:pPr>
        <w:pStyle w:val="BodyText"/>
        <w:spacing w:line="312" w:lineRule="auto" w:before="94"/>
        <w:ind w:left="320" w:right="386" w:firstLine="427"/>
      </w:pPr>
      <w:r>
        <w:rPr/>
        <w:t>应定期组织员工熟悉灭火和应急疏散预案，并通过预案演练，逐步修改完善。</w:t>
      </w:r>
    </w:p>
    <w:p>
      <w:pPr>
        <w:pStyle w:val="ListParagraph"/>
        <w:numPr>
          <w:ilvl w:val="0"/>
          <w:numId w:val="9"/>
        </w:numPr>
        <w:tabs>
          <w:tab w:pos="1228" w:val="left" w:leader="none"/>
        </w:tabs>
        <w:spacing w:line="307" w:lineRule="exact" w:before="0" w:after="0"/>
        <w:ind w:left="1227" w:right="0" w:hanging="481"/>
        <w:jc w:val="left"/>
        <w:rPr>
          <w:sz w:val="24"/>
        </w:rPr>
      </w:pPr>
      <w:r>
        <w:rPr>
          <w:sz w:val="24"/>
        </w:rPr>
        <w:t>消防演练目的</w:t>
      </w:r>
    </w:p>
    <w:p>
      <w:pPr>
        <w:spacing w:after="0" w:line="307" w:lineRule="exact"/>
        <w:jc w:val="left"/>
        <w:rPr>
          <w:sz w:val="24"/>
        </w:rPr>
        <w:sectPr>
          <w:pgSz w:w="8400" w:h="11910"/>
          <w:pgMar w:header="0" w:footer="875" w:top="1100" w:bottom="1060" w:left="700" w:right="560"/>
        </w:sectPr>
      </w:pPr>
    </w:p>
    <w:p>
      <w:pPr>
        <w:pStyle w:val="BodyText"/>
        <w:spacing w:line="312" w:lineRule="auto" w:before="108"/>
        <w:ind w:left="320" w:right="455" w:firstLine="480"/>
      </w:pPr>
      <w:r>
        <w:rPr/>
        <w:t>一一检验各级消防安全责任人、各职能组和有关人员对灭火和应急疏散预案内容、职责的熟悉程度；</w:t>
      </w:r>
    </w:p>
    <w:p>
      <w:pPr>
        <w:pStyle w:val="BodyText"/>
        <w:spacing w:line="312" w:lineRule="auto"/>
        <w:ind w:left="320" w:right="455" w:firstLine="480"/>
      </w:pPr>
      <w:r>
        <w:rPr/>
        <w:t>一一检验人员安全疏散、初起火灾扑救、消防设施使用等情况；</w:t>
      </w:r>
    </w:p>
    <w:p>
      <w:pPr>
        <w:pStyle w:val="BodyText"/>
        <w:spacing w:line="312" w:lineRule="auto" w:before="2"/>
        <w:ind w:left="320" w:right="455" w:firstLine="480"/>
      </w:pPr>
      <w:r>
        <w:rPr/>
        <w:t>一一检验本单位在紧急情况下的组织、指挥、通讯、救护等方面的能力；</w:t>
      </w:r>
    </w:p>
    <w:p>
      <w:pPr>
        <w:pStyle w:val="BodyText"/>
        <w:spacing w:line="314" w:lineRule="auto"/>
        <w:ind w:left="800" w:right="1050"/>
      </w:pPr>
      <w:r>
        <w:rPr/>
        <w:t>一一检验灭火应急疏散预案的实用性和可操作性； 一一应至少每半年组织一次消防演练；</w:t>
      </w:r>
    </w:p>
    <w:p>
      <w:pPr>
        <w:pStyle w:val="BodyText"/>
        <w:spacing w:line="312" w:lineRule="auto"/>
        <w:ind w:left="320" w:right="455" w:firstLine="480"/>
      </w:pPr>
      <w:r>
        <w:rPr/>
        <w:t>一一宜选择人员集中、火灾危险性较大和重点部位作为消防演练的目标，根据实际情况，确定火灾模拟形式；</w:t>
      </w:r>
    </w:p>
    <w:p>
      <w:pPr>
        <w:pStyle w:val="BodyText"/>
        <w:spacing w:line="312" w:lineRule="auto"/>
        <w:ind w:left="320" w:right="455" w:firstLine="480"/>
      </w:pPr>
      <w:r>
        <w:rPr/>
        <w:t>一一消防演练方案可以报告当地消防机构，争取其业务指导；</w:t>
      </w:r>
    </w:p>
    <w:p>
      <w:pPr>
        <w:pStyle w:val="BodyText"/>
        <w:spacing w:line="312" w:lineRule="auto"/>
        <w:ind w:left="320" w:right="455" w:firstLine="480"/>
        <w:jc w:val="both"/>
      </w:pPr>
      <w:r>
        <w:rPr/>
        <w:t>一一消防演练前，应通知场所内的从业人员和顾客或使用人员积极参与；消防演练时，应在建筑入口等显著位置设置 “正在消防演练”的标志牌，进行公告；</w:t>
      </w:r>
    </w:p>
    <w:p>
      <w:pPr>
        <w:pStyle w:val="BodyText"/>
        <w:ind w:left="800"/>
      </w:pPr>
      <w:r>
        <w:rPr/>
        <w:t>一一消防演练应按照灭火和应急疏散预案实施；</w:t>
      </w:r>
    </w:p>
    <w:p>
      <w:pPr>
        <w:pStyle w:val="BodyText"/>
        <w:spacing w:line="312" w:lineRule="auto" w:before="90"/>
        <w:ind w:left="320" w:right="455" w:firstLine="480"/>
      </w:pPr>
      <w:r>
        <w:rPr/>
        <w:t>一一模拟火灾演练中应落实火源及烟气的控制措施，防止造成人员伤害；</w:t>
      </w:r>
    </w:p>
    <w:p>
      <w:pPr>
        <w:pStyle w:val="BodyText"/>
        <w:spacing w:line="312" w:lineRule="auto"/>
        <w:ind w:left="320" w:right="459" w:firstLine="480"/>
      </w:pPr>
      <w:r>
        <w:rPr>
          <w:spacing w:val="-8"/>
        </w:rPr>
        <w:t>——地铁、高度超过 </w:t>
      </w:r>
      <w:r>
        <w:rPr/>
        <w:t>100m</w:t>
      </w:r>
      <w:r>
        <w:rPr>
          <w:spacing w:val="-10"/>
        </w:rPr>
        <w:t> 的多功能建筑等，应适时与当</w:t>
      </w:r>
      <w:r>
        <w:rPr/>
        <w:t>地消防站组织联合消防演练；</w:t>
      </w:r>
    </w:p>
    <w:p>
      <w:pPr>
        <w:pStyle w:val="BodyText"/>
        <w:spacing w:line="312" w:lineRule="auto"/>
        <w:ind w:left="320" w:right="454" w:firstLine="480"/>
      </w:pPr>
      <w:r>
        <w:rPr>
          <w:spacing w:val="4"/>
        </w:rPr>
        <w:t>一一演练结束后，应将消防设施恢复到正常运行状态， </w:t>
      </w:r>
      <w:r>
        <w:rPr/>
        <w:t>做好记录，并及时进行总结。</w:t>
      </w:r>
    </w:p>
    <w:p>
      <w:pPr>
        <w:pStyle w:val="Heading3"/>
        <w:spacing w:before="122"/>
        <w:rPr>
          <w:rFonts w:ascii="黑体" w:hAnsi="黑体" w:eastAsia="黑体" w:hint="eastAsia"/>
        </w:rPr>
      </w:pPr>
      <w:bookmarkStart w:name="_bookmark19" w:id="20"/>
      <w:bookmarkEnd w:id="20"/>
      <w:r>
        <w:rPr>
          <w:b w:val="0"/>
        </w:rPr>
      </w:r>
      <w:r>
        <w:rPr>
          <w:rFonts w:ascii="黑体" w:hAnsi="黑体" w:eastAsia="黑体" w:hint="eastAsia"/>
        </w:rPr>
        <w:t>(七)实施“三自主两公开一承诺”制度</w:t>
      </w:r>
    </w:p>
    <w:p>
      <w:pPr>
        <w:spacing w:after="0"/>
        <w:rPr>
          <w:rFonts w:ascii="黑体" w:hAnsi="黑体" w:eastAsia="黑体" w:hint="eastAsia"/>
        </w:rPr>
        <w:sectPr>
          <w:pgSz w:w="8400" w:h="11910"/>
          <w:pgMar w:header="0" w:footer="834" w:top="1100" w:bottom="1020" w:left="700" w:right="560"/>
        </w:sectPr>
      </w:pPr>
    </w:p>
    <w:p>
      <w:pPr>
        <w:pStyle w:val="BodyText"/>
        <w:spacing w:line="312" w:lineRule="auto" w:before="108"/>
        <w:ind w:left="320" w:right="455" w:firstLine="480"/>
        <w:jc w:val="both"/>
      </w:pPr>
      <w:r>
        <w:rPr/>
        <w:t>推动消防安全重点单位落实消防安全主体责任，以悬挂“三自主两公开一承诺”公示牌的方式，形成以自评自查自改、公开承诺为抓手，以自主检查安全、自主整改隐患、自主评估 风险为手段，以消防救援部门评定为结果的模式，推动消防安全重点单位的消防安全日常管理工作落实。单位在醒目位置公示自己的消防安全公示牌。</w:t>
      </w:r>
    </w:p>
    <w:p>
      <w:pPr>
        <w:pStyle w:val="BodyText"/>
        <w:ind w:left="0"/>
        <w:rPr>
          <w:sz w:val="20"/>
        </w:rPr>
      </w:pPr>
    </w:p>
    <w:p>
      <w:pPr>
        <w:pStyle w:val="BodyText"/>
        <w:spacing w:before="8"/>
        <w:ind w:left="0"/>
        <w:rPr>
          <w:sz w:val="13"/>
        </w:rPr>
      </w:pPr>
      <w:r>
        <w:rPr/>
        <w:drawing>
          <wp:anchor distT="0" distB="0" distL="0" distR="0" allowOverlap="1" layoutInCell="1" locked="0" behindDoc="0" simplePos="0" relativeHeight="1">
            <wp:simplePos x="0" y="0"/>
            <wp:positionH relativeFrom="page">
              <wp:posOffset>1745614</wp:posOffset>
            </wp:positionH>
            <wp:positionV relativeFrom="paragraph">
              <wp:posOffset>136048</wp:posOffset>
            </wp:positionV>
            <wp:extent cx="2041144" cy="240791"/>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2041144" cy="240791"/>
                    </a:xfrm>
                    <a:prstGeom prst="rect">
                      <a:avLst/>
                    </a:prstGeom>
                  </pic:spPr>
                </pic:pic>
              </a:graphicData>
            </a:graphic>
          </wp:anchor>
        </w:drawing>
      </w:r>
    </w:p>
    <w:p>
      <w:pPr>
        <w:pStyle w:val="BodyText"/>
        <w:spacing w:before="7"/>
        <w:ind w:left="0"/>
        <w:rPr>
          <w:sz w:val="7"/>
        </w:rPr>
      </w:pPr>
    </w:p>
    <w:p>
      <w:pPr>
        <w:pStyle w:val="Heading3"/>
        <w:spacing w:before="66"/>
        <w:ind w:left="882"/>
        <w:rPr>
          <w:rFonts w:ascii="黑体" w:eastAsia="黑体" w:hint="eastAsia"/>
        </w:rPr>
      </w:pPr>
      <w:r>
        <w:rPr/>
        <w:drawing>
          <wp:anchor distT="0" distB="0" distL="0" distR="0" allowOverlap="1" layoutInCell="1" locked="0" behindDoc="0" simplePos="0" relativeHeight="2">
            <wp:simplePos x="0" y="0"/>
            <wp:positionH relativeFrom="page">
              <wp:posOffset>765175</wp:posOffset>
            </wp:positionH>
            <wp:positionV relativeFrom="paragraph">
              <wp:posOffset>289813</wp:posOffset>
            </wp:positionV>
            <wp:extent cx="3964148" cy="1450181"/>
            <wp:effectExtent l="0" t="0" r="0" b="0"/>
            <wp:wrapTopAndBottom/>
            <wp:docPr id="13" name="image7.jpeg" descr="1607560071(1)"/>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3964148" cy="1450181"/>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765175</wp:posOffset>
            </wp:positionH>
            <wp:positionV relativeFrom="paragraph">
              <wp:posOffset>1854453</wp:posOffset>
            </wp:positionV>
            <wp:extent cx="3922694" cy="1996535"/>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3922694" cy="1996535"/>
                    </a:xfrm>
                    <a:prstGeom prst="rect">
                      <a:avLst/>
                    </a:prstGeom>
                  </pic:spPr>
                </pic:pic>
              </a:graphicData>
            </a:graphic>
          </wp:anchor>
        </w:drawing>
      </w:r>
      <w:bookmarkStart w:name="_bookmark20" w:id="21"/>
      <w:bookmarkEnd w:id="21"/>
      <w:r>
        <w:rPr>
          <w:b w:val="0"/>
        </w:rPr>
      </w:r>
      <w:bookmarkStart w:name="_bookmark21" w:id="22"/>
      <w:bookmarkEnd w:id="22"/>
      <w:r>
        <w:rPr>
          <w:b w:val="0"/>
        </w:rPr>
      </w:r>
      <w:r>
        <w:rPr>
          <w:rFonts w:ascii="黑体" w:eastAsia="黑体" w:hint="eastAsia"/>
        </w:rPr>
        <w:t>(一)设置要求及示例(供参考)</w:t>
      </w:r>
    </w:p>
    <w:p>
      <w:pPr>
        <w:pStyle w:val="BodyText"/>
        <w:spacing w:before="9"/>
        <w:ind w:left="0"/>
        <w:rPr>
          <w:rFonts w:ascii="黑体"/>
          <w:b/>
          <w:sz w:val="8"/>
        </w:rPr>
      </w:pPr>
    </w:p>
    <w:p>
      <w:pPr>
        <w:spacing w:after="0"/>
        <w:rPr>
          <w:rFonts w:ascii="黑体"/>
          <w:sz w:val="8"/>
        </w:rPr>
        <w:sectPr>
          <w:pgSz w:w="8400" w:h="11910"/>
          <w:pgMar w:header="0" w:footer="875" w:top="1100" w:bottom="1060" w:left="700" w:right="560"/>
        </w:sectPr>
      </w:pPr>
    </w:p>
    <w:p>
      <w:pPr>
        <w:pStyle w:val="BodyText"/>
        <w:spacing w:before="2"/>
        <w:ind w:left="0"/>
        <w:rPr>
          <w:rFonts w:ascii="黑体"/>
          <w:b/>
          <w:sz w:val="2"/>
        </w:rPr>
      </w:pPr>
    </w:p>
    <w:p>
      <w:pPr>
        <w:pStyle w:val="BodyText"/>
        <w:ind w:left="320"/>
        <w:rPr>
          <w:rFonts w:ascii="黑体"/>
          <w:sz w:val="20"/>
        </w:rPr>
      </w:pPr>
      <w:r>
        <w:rPr>
          <w:rFonts w:ascii="黑体"/>
          <w:sz w:val="20"/>
        </w:rPr>
        <w:drawing>
          <wp:inline distT="0" distB="0" distL="0" distR="0">
            <wp:extent cx="4037290" cy="6035040"/>
            <wp:effectExtent l="0" t="0" r="0" b="0"/>
            <wp:docPr id="17" name="image9.jpeg" descr="1607560215(1)"/>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4037290" cy="6035040"/>
                    </a:xfrm>
                    <a:prstGeom prst="rect">
                      <a:avLst/>
                    </a:prstGeom>
                  </pic:spPr>
                </pic:pic>
              </a:graphicData>
            </a:graphic>
          </wp:inline>
        </w:drawing>
      </w:r>
      <w:r>
        <w:rPr>
          <w:rFonts w:ascii="黑体"/>
          <w:sz w:val="20"/>
        </w:rPr>
      </w:r>
    </w:p>
    <w:p>
      <w:pPr>
        <w:spacing w:after="0"/>
        <w:rPr>
          <w:rFonts w:ascii="黑体"/>
          <w:sz w:val="20"/>
        </w:rPr>
        <w:sectPr>
          <w:pgSz w:w="8400" w:h="11910"/>
          <w:pgMar w:header="0" w:footer="834" w:top="1100" w:bottom="940" w:left="700" w:right="560"/>
        </w:sectPr>
      </w:pPr>
    </w:p>
    <w:p>
      <w:pPr>
        <w:pStyle w:val="BodyText"/>
        <w:spacing w:before="2"/>
        <w:ind w:left="0"/>
        <w:rPr>
          <w:rFonts w:ascii="黑体"/>
          <w:b/>
          <w:sz w:val="2"/>
        </w:rPr>
      </w:pPr>
    </w:p>
    <w:p>
      <w:pPr>
        <w:pStyle w:val="BodyText"/>
        <w:ind w:left="484"/>
        <w:rPr>
          <w:rFonts w:ascii="黑体"/>
          <w:sz w:val="20"/>
        </w:rPr>
      </w:pPr>
      <w:r>
        <w:rPr>
          <w:rFonts w:ascii="黑体"/>
          <w:sz w:val="20"/>
        </w:rPr>
        <w:drawing>
          <wp:inline distT="0" distB="0" distL="0" distR="0">
            <wp:extent cx="4106437" cy="5756338"/>
            <wp:effectExtent l="0" t="0" r="0" b="0"/>
            <wp:docPr id="19" name="image10.jpeg" descr="754955569488364aee6dde3ca0ca1fe"/>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4106437" cy="5756338"/>
                    </a:xfrm>
                    <a:prstGeom prst="rect">
                      <a:avLst/>
                    </a:prstGeom>
                  </pic:spPr>
                </pic:pic>
              </a:graphicData>
            </a:graphic>
          </wp:inline>
        </w:drawing>
      </w:r>
      <w:r>
        <w:rPr>
          <w:rFonts w:ascii="黑体"/>
          <w:sz w:val="20"/>
        </w:rPr>
      </w:r>
    </w:p>
    <w:p>
      <w:pPr>
        <w:spacing w:after="0"/>
        <w:rPr>
          <w:rFonts w:ascii="黑体"/>
          <w:sz w:val="20"/>
        </w:rPr>
        <w:sectPr>
          <w:pgSz w:w="8400" w:h="11910"/>
          <w:pgMar w:header="0" w:footer="875" w:top="1100" w:bottom="980" w:left="700" w:right="560"/>
        </w:sectPr>
      </w:pPr>
    </w:p>
    <w:p>
      <w:pPr>
        <w:pStyle w:val="BodyText"/>
        <w:ind w:left="0"/>
        <w:rPr>
          <w:rFonts w:ascii="黑体"/>
          <w:b/>
          <w:sz w:val="15"/>
        </w:rPr>
      </w:pPr>
    </w:p>
    <w:p>
      <w:pPr>
        <w:pStyle w:val="BodyText"/>
        <w:ind w:left="616"/>
        <w:rPr>
          <w:rFonts w:ascii="黑体"/>
          <w:sz w:val="20"/>
        </w:rPr>
      </w:pPr>
      <w:r>
        <w:rPr>
          <w:rFonts w:ascii="黑体"/>
          <w:sz w:val="20"/>
        </w:rPr>
        <w:drawing>
          <wp:inline distT="0" distB="0" distL="0" distR="0">
            <wp:extent cx="3938970" cy="5779103"/>
            <wp:effectExtent l="0" t="0" r="0" b="0"/>
            <wp:docPr id="21" name="image11.jpeg" descr="fe41ce141d676c220877b686556c68f"/>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3938970" cy="5779103"/>
                    </a:xfrm>
                    <a:prstGeom prst="rect">
                      <a:avLst/>
                    </a:prstGeom>
                  </pic:spPr>
                </pic:pic>
              </a:graphicData>
            </a:graphic>
          </wp:inline>
        </w:drawing>
      </w:r>
      <w:r>
        <w:rPr>
          <w:rFonts w:ascii="黑体"/>
          <w:sz w:val="20"/>
        </w:rPr>
      </w:r>
    </w:p>
    <w:p>
      <w:pPr>
        <w:spacing w:after="0"/>
        <w:rPr>
          <w:rFonts w:ascii="黑体"/>
          <w:sz w:val="20"/>
        </w:rPr>
        <w:sectPr>
          <w:pgSz w:w="8400" w:h="11910"/>
          <w:pgMar w:header="0" w:footer="834" w:top="1100" w:bottom="940" w:left="700" w:right="560"/>
        </w:sectPr>
      </w:pPr>
    </w:p>
    <w:p>
      <w:pPr>
        <w:pStyle w:val="BodyText"/>
        <w:spacing w:before="2"/>
        <w:ind w:left="0"/>
        <w:rPr>
          <w:rFonts w:ascii="黑体"/>
          <w:b/>
          <w:sz w:val="2"/>
        </w:rPr>
      </w:pPr>
    </w:p>
    <w:p>
      <w:pPr>
        <w:pStyle w:val="BodyText"/>
        <w:ind w:left="342"/>
        <w:rPr>
          <w:rFonts w:ascii="黑体"/>
          <w:sz w:val="20"/>
        </w:rPr>
      </w:pPr>
      <w:r>
        <w:rPr>
          <w:rFonts w:ascii="黑体"/>
          <w:sz w:val="20"/>
        </w:rPr>
        <w:drawing>
          <wp:inline distT="0" distB="0" distL="0" distR="0">
            <wp:extent cx="4017024" cy="3151631"/>
            <wp:effectExtent l="0" t="0" r="0" b="0"/>
            <wp:docPr id="23" name="image12.jpeg" descr="1607566082(1)"/>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4017024" cy="3151631"/>
                    </a:xfrm>
                    <a:prstGeom prst="rect">
                      <a:avLst/>
                    </a:prstGeom>
                  </pic:spPr>
                </pic:pic>
              </a:graphicData>
            </a:graphic>
          </wp:inline>
        </w:drawing>
      </w:r>
      <w:r>
        <w:rPr>
          <w:rFonts w:ascii="黑体"/>
          <w:sz w:val="20"/>
        </w:rPr>
      </w:r>
    </w:p>
    <w:p>
      <w:pPr>
        <w:pStyle w:val="BodyText"/>
        <w:spacing w:before="3"/>
        <w:ind w:left="0"/>
        <w:rPr>
          <w:rFonts w:ascii="黑体"/>
          <w:b/>
          <w:sz w:val="8"/>
        </w:rPr>
      </w:pPr>
    </w:p>
    <w:p>
      <w:pPr>
        <w:pStyle w:val="Heading3"/>
        <w:spacing w:before="66"/>
        <w:rPr>
          <w:rFonts w:ascii="黑体" w:eastAsia="黑体" w:hint="eastAsia"/>
        </w:rPr>
      </w:pPr>
      <w:bookmarkStart w:name="_bookmark22" w:id="23"/>
      <w:bookmarkEnd w:id="23"/>
      <w:r>
        <w:rPr>
          <w:b w:val="0"/>
        </w:rPr>
      </w:r>
      <w:r>
        <w:rPr>
          <w:rFonts w:ascii="黑体" w:eastAsia="黑体" w:hint="eastAsia"/>
        </w:rPr>
        <w:t>(二)各部位上墙制度</w:t>
      </w:r>
    </w:p>
    <w:p>
      <w:pPr>
        <w:pStyle w:val="BodyText"/>
        <w:spacing w:before="113"/>
        <w:ind w:left="800"/>
      </w:pPr>
      <w:r>
        <w:rPr/>
        <w:t>1、消防控制室</w:t>
      </w:r>
    </w:p>
    <w:p>
      <w:pPr>
        <w:pStyle w:val="BodyText"/>
        <w:spacing w:before="112"/>
        <w:ind w:left="800"/>
      </w:pPr>
      <w:r>
        <w:rPr/>
        <w:t>(1)消防控制室管理制度</w:t>
      </w:r>
    </w:p>
    <w:p>
      <w:pPr>
        <w:pStyle w:val="BodyText"/>
        <w:spacing w:line="328" w:lineRule="auto" w:before="113"/>
        <w:ind w:left="320" w:right="463" w:firstLine="480"/>
      </w:pPr>
      <w:r>
        <w:rPr/>
        <w:t>第一条 消防控制室工作人员应严格遵守消防控制室的各项安全操作规程和各项消防安全管理制度。</w:t>
      </w:r>
    </w:p>
    <w:p>
      <w:pPr>
        <w:pStyle w:val="BodyText"/>
        <w:spacing w:line="328" w:lineRule="auto"/>
        <w:ind w:left="320" w:right="442" w:firstLine="480"/>
      </w:pPr>
      <w:r>
        <w:rPr>
          <w:spacing w:val="-12"/>
        </w:rPr>
        <w:t>第二条 消防控制室应当实行每日</w:t>
      </w:r>
      <w:r>
        <w:rPr>
          <w:spacing w:val="-4"/>
        </w:rPr>
        <w:t>24</w:t>
      </w:r>
      <w:r>
        <w:rPr>
          <w:spacing w:val="-23"/>
        </w:rPr>
        <w:t> 小时专人值班制度，确</w:t>
      </w:r>
      <w:r>
        <w:rPr>
          <w:spacing w:val="-17"/>
        </w:rPr>
        <w:t>保及时发现并准确处置火灾和故障报警。</w:t>
      </w:r>
    </w:p>
    <w:p>
      <w:pPr>
        <w:pStyle w:val="BodyText"/>
        <w:spacing w:line="328" w:lineRule="auto"/>
        <w:ind w:left="320" w:right="458" w:firstLine="480"/>
      </w:pPr>
      <w:r>
        <w:rPr>
          <w:spacing w:val="-3"/>
        </w:rPr>
        <w:t>第三条 消防控制室工作人员每班不得少于 </w:t>
      </w:r>
      <w:r>
        <w:rPr/>
        <w:t>2</w:t>
      </w:r>
      <w:r>
        <w:rPr>
          <w:spacing w:val="-16"/>
        </w:rPr>
        <w:t> 人，每班应</w:t>
      </w:r>
      <w:r>
        <w:rPr/>
        <w:t>明确一名带班班长。</w:t>
      </w:r>
    </w:p>
    <w:p>
      <w:pPr>
        <w:pStyle w:val="BodyText"/>
        <w:spacing w:line="328" w:lineRule="auto"/>
        <w:ind w:left="320" w:right="452" w:firstLine="463"/>
      </w:pPr>
      <w:r>
        <w:rPr>
          <w:spacing w:val="-12"/>
        </w:rPr>
        <w:t>第四条 消防控制室自动消防系统的值班操作人员，应取得</w:t>
      </w:r>
      <w:r>
        <w:rPr>
          <w:spacing w:val="-10"/>
        </w:rPr>
        <w:t>岗位操作证，持证上岗，并存放在消防控制室备查。</w:t>
      </w:r>
    </w:p>
    <w:p>
      <w:pPr>
        <w:spacing w:after="0" w:line="328" w:lineRule="auto"/>
        <w:sectPr>
          <w:pgSz w:w="8400" w:h="11910"/>
          <w:pgMar w:header="0" w:footer="875" w:top="1100" w:bottom="980" w:left="700" w:right="560"/>
        </w:sectPr>
      </w:pPr>
    </w:p>
    <w:p>
      <w:pPr>
        <w:pStyle w:val="BodyText"/>
        <w:spacing w:line="312" w:lineRule="auto" w:before="108"/>
        <w:ind w:left="320" w:right="449" w:firstLine="456"/>
        <w:jc w:val="both"/>
      </w:pPr>
      <w:r>
        <w:rPr>
          <w:spacing w:val="-10"/>
        </w:rPr>
        <w:t>第五条 消防控制室的工作人员应按时上岗，并做好交接班</w:t>
      </w:r>
      <w:r>
        <w:rPr>
          <w:spacing w:val="-12"/>
        </w:rPr>
        <w:t>工作，接班人员未到前交班人员不得擅自离岗。</w:t>
      </w:r>
    </w:p>
    <w:p>
      <w:pPr>
        <w:pStyle w:val="BodyText"/>
        <w:spacing w:line="312" w:lineRule="auto"/>
        <w:ind w:left="320" w:right="447" w:firstLine="456"/>
        <w:jc w:val="both"/>
      </w:pPr>
      <w:r>
        <w:rPr>
          <w:spacing w:val="-10"/>
        </w:rPr>
        <w:t>第六条 消防控制室工作人员应按时上岗，并坚守岗位，尽</w:t>
      </w:r>
      <w:r>
        <w:rPr>
          <w:spacing w:val="-17"/>
        </w:rPr>
        <w:t>职尽责，不得脱岗、替岗、睡岗，严禁值班前饮酒或在值班时进</w:t>
      </w:r>
      <w:r>
        <w:rPr>
          <w:spacing w:val="-18"/>
        </w:rPr>
        <w:t>行娱乐活动，因确有特殊情况不能到岗的，应提前向单位主管领</w:t>
      </w:r>
      <w:r>
        <w:rPr>
          <w:spacing w:val="-12"/>
        </w:rPr>
        <w:t>导请假，经批准后，由同等职务的人员代替值班。</w:t>
      </w:r>
    </w:p>
    <w:p>
      <w:pPr>
        <w:pStyle w:val="BodyText"/>
        <w:spacing w:line="312" w:lineRule="auto" w:before="2"/>
        <w:ind w:left="320" w:right="449" w:firstLine="456"/>
        <w:jc w:val="both"/>
      </w:pPr>
      <w:r>
        <w:rPr>
          <w:spacing w:val="-10"/>
        </w:rPr>
        <w:t>第七条 应在消防控制室的入口处设置明显的标志；消防控</w:t>
      </w:r>
      <w:r>
        <w:rPr>
          <w:spacing w:val="-16"/>
        </w:rPr>
        <w:t>制室应设置火灾事故应急照明、灭火器等消防器材，并配备相应的通讯联络工具。</w:t>
      </w:r>
    </w:p>
    <w:p>
      <w:pPr>
        <w:pStyle w:val="BodyText"/>
        <w:spacing w:line="312" w:lineRule="auto" w:before="1"/>
        <w:ind w:left="320" w:right="448" w:firstLine="456"/>
        <w:jc w:val="both"/>
      </w:pPr>
      <w:r>
        <w:rPr>
          <w:spacing w:val="-16"/>
        </w:rPr>
        <w:t>第八条 消防控制室工作人员要爱护消防控制室的设施， 持</w:t>
      </w:r>
      <w:r>
        <w:rPr>
          <w:spacing w:val="-12"/>
        </w:rPr>
        <w:t>控制室内的卫生。</w:t>
      </w:r>
    </w:p>
    <w:p>
      <w:pPr>
        <w:pStyle w:val="BodyText"/>
        <w:spacing w:line="312" w:lineRule="auto"/>
        <w:ind w:left="776" w:right="449"/>
        <w:jc w:val="both"/>
      </w:pPr>
      <w:r>
        <w:rPr>
          <w:spacing w:val="-12"/>
        </w:rPr>
        <w:t>第九条 严禁无关人员进入消防控制室，随意触动设备。第</w:t>
      </w:r>
      <w:r>
        <w:rPr>
          <w:spacing w:val="-10"/>
        </w:rPr>
        <w:t>十条 消防控制室内严禁存放易燃易爆危险物品和堆放与</w:t>
      </w:r>
    </w:p>
    <w:p>
      <w:pPr>
        <w:pStyle w:val="BodyText"/>
        <w:spacing w:line="312" w:lineRule="auto" w:before="2"/>
        <w:ind w:left="320" w:right="459"/>
      </w:pPr>
      <w:r>
        <w:rPr>
          <w:spacing w:val="-17"/>
        </w:rPr>
        <w:t>设备运行无关的物品或杂物，严禁与消防控制室无关的电气线路</w:t>
      </w:r>
      <w:r>
        <w:rPr>
          <w:spacing w:val="-12"/>
        </w:rPr>
        <w:t>和管道穿过。</w:t>
      </w:r>
    </w:p>
    <w:p>
      <w:pPr>
        <w:pStyle w:val="BodyText"/>
        <w:spacing w:line="312" w:lineRule="auto"/>
        <w:ind w:left="776" w:right="1685"/>
      </w:pPr>
      <w:r>
        <w:rPr>
          <w:spacing w:val="-13"/>
        </w:rPr>
        <w:t>第十一条 消防控制室内严禁吸烟或动用明火。</w:t>
      </w:r>
      <w:r>
        <w:rPr>
          <w:spacing w:val="-6"/>
        </w:rPr>
        <w:t>(2)</w:t>
      </w:r>
      <w:r>
        <w:rPr>
          <w:spacing w:val="-12"/>
        </w:rPr>
        <w:t>消防控制室值班人员职责</w:t>
      </w:r>
    </w:p>
    <w:p>
      <w:pPr>
        <w:pStyle w:val="BodyText"/>
        <w:spacing w:line="307" w:lineRule="exact"/>
        <w:ind w:left="776"/>
      </w:pPr>
      <w:r>
        <w:rPr/>
        <w:t>第一条 遵守控制室的各项规章制度。</w:t>
      </w:r>
    </w:p>
    <w:p>
      <w:pPr>
        <w:pStyle w:val="BodyText"/>
        <w:spacing w:line="312" w:lineRule="auto" w:before="93"/>
        <w:ind w:left="320" w:right="449" w:firstLine="456"/>
        <w:jc w:val="both"/>
      </w:pPr>
      <w:r>
        <w:rPr>
          <w:spacing w:val="-10"/>
        </w:rPr>
        <w:t>第二条 熟悉和掌握本系统的工作原理和操作规程，熟悉各</w:t>
      </w:r>
      <w:r>
        <w:rPr>
          <w:spacing w:val="-12"/>
        </w:rPr>
        <w:t>种按键的功能，能够熟练操作。</w:t>
      </w:r>
    </w:p>
    <w:p>
      <w:pPr>
        <w:pStyle w:val="BodyText"/>
        <w:spacing w:line="312" w:lineRule="auto"/>
        <w:ind w:left="320" w:right="448" w:firstLine="456"/>
        <w:jc w:val="both"/>
      </w:pPr>
      <w:r>
        <w:rPr>
          <w:spacing w:val="-10"/>
        </w:rPr>
        <w:t>第三条 应当在岗在位，认真记录控制器日运行情况，每日</w:t>
      </w:r>
      <w:r>
        <w:rPr>
          <w:spacing w:val="-11"/>
        </w:rPr>
        <w:t>检查火灾报警控制器的自检、消音、复位功能以及主备电源 切换功能，消防联动控制器的运行状况，并认真填写《消防控 制</w:t>
      </w:r>
      <w:r>
        <w:rPr>
          <w:spacing w:val="-12"/>
        </w:rPr>
        <w:t>室值班记录》。</w:t>
      </w:r>
    </w:p>
    <w:p>
      <w:pPr>
        <w:spacing w:after="0" w:line="312" w:lineRule="auto"/>
        <w:jc w:val="both"/>
        <w:sectPr>
          <w:pgSz w:w="8400" w:h="11910"/>
          <w:pgMar w:header="0" w:footer="834" w:top="1100" w:bottom="940" w:left="700" w:right="560"/>
        </w:sectPr>
      </w:pPr>
    </w:p>
    <w:p>
      <w:pPr>
        <w:pStyle w:val="BodyText"/>
        <w:spacing w:line="312" w:lineRule="auto" w:before="108"/>
        <w:ind w:left="320" w:right="449" w:firstLine="456"/>
      </w:pPr>
      <w:r>
        <w:rPr>
          <w:spacing w:val="-10"/>
        </w:rPr>
        <w:t>第四条 及时发现设备故障，不能当场处理的，填写《建筑</w:t>
      </w:r>
      <w:r>
        <w:rPr>
          <w:spacing w:val="-12"/>
        </w:rPr>
        <w:t>消防设施故障登记处理记录》，移交专业维修人员处理。</w:t>
      </w:r>
    </w:p>
    <w:p>
      <w:pPr>
        <w:pStyle w:val="BodyText"/>
        <w:spacing w:line="312" w:lineRule="auto"/>
        <w:ind w:left="320" w:right="449" w:firstLine="456"/>
      </w:pPr>
      <w:r>
        <w:rPr>
          <w:spacing w:val="-10"/>
        </w:rPr>
        <w:t>第五条 掌握和了解消防设施的运行、误报警、故障等有关</w:t>
      </w:r>
      <w:r>
        <w:rPr>
          <w:spacing w:val="-12"/>
        </w:rPr>
        <w:t>情况。</w:t>
      </w:r>
    </w:p>
    <w:p>
      <w:pPr>
        <w:pStyle w:val="BodyText"/>
        <w:spacing w:line="312" w:lineRule="auto" w:before="2"/>
        <w:ind w:left="320" w:right="449" w:firstLine="456"/>
      </w:pPr>
      <w:r>
        <w:rPr>
          <w:spacing w:val="-10"/>
        </w:rPr>
        <w:t>第六条 熟练掌握《消防控制室管理及应急程序》，火灾情</w:t>
      </w:r>
      <w:r>
        <w:rPr>
          <w:spacing w:val="-12"/>
        </w:rPr>
        <w:t>况下能够按照程序开展灭火救援工作。</w:t>
      </w:r>
    </w:p>
    <w:p>
      <w:pPr>
        <w:pStyle w:val="ListParagraph"/>
        <w:numPr>
          <w:ilvl w:val="0"/>
          <w:numId w:val="10"/>
        </w:numPr>
        <w:tabs>
          <w:tab w:pos="1126" w:val="left" w:leader="none"/>
        </w:tabs>
        <w:spacing w:line="307" w:lineRule="exact" w:before="0" w:after="0"/>
        <w:ind w:left="1125" w:right="0" w:hanging="350"/>
        <w:jc w:val="left"/>
        <w:rPr>
          <w:sz w:val="24"/>
        </w:rPr>
      </w:pPr>
      <w:r>
        <w:rPr>
          <w:spacing w:val="-12"/>
          <w:sz w:val="24"/>
        </w:rPr>
        <w:t>消防控制室管理及应急程序</w:t>
      </w:r>
    </w:p>
    <w:p>
      <w:pPr>
        <w:pStyle w:val="BodyText"/>
        <w:spacing w:line="312" w:lineRule="auto" w:before="94"/>
        <w:ind w:left="320" w:right="449" w:firstLine="456"/>
        <w:jc w:val="both"/>
      </w:pPr>
      <w:r>
        <w:rPr>
          <w:spacing w:val="-10"/>
        </w:rPr>
        <w:t>第一条 消防控制室的日常管理应符合《建筑消防设施的维</w:t>
      </w:r>
      <w:r>
        <w:rPr>
          <w:spacing w:val="-11"/>
        </w:rPr>
        <w:t>护管理》(</w:t>
      </w:r>
      <w:r>
        <w:rPr>
          <w:spacing w:val="-5"/>
        </w:rPr>
        <w:t>GB </w:t>
      </w:r>
      <w:r>
        <w:rPr>
          <w:spacing w:val="-6"/>
        </w:rPr>
        <w:t>25201</w:t>
      </w:r>
      <w:r>
        <w:rPr>
          <w:spacing w:val="-12"/>
        </w:rPr>
        <w:t> )的有关要求。</w:t>
      </w:r>
    </w:p>
    <w:p>
      <w:pPr>
        <w:pStyle w:val="BodyText"/>
        <w:spacing w:line="312" w:lineRule="auto"/>
        <w:ind w:left="320" w:right="449" w:firstLine="456"/>
        <w:jc w:val="both"/>
      </w:pPr>
      <w:r>
        <w:rPr>
          <w:spacing w:val="-10"/>
        </w:rPr>
        <w:t>第二条 消防控制室应确保火灾自动报警系统和灭火系统处</w:t>
      </w:r>
      <w:r>
        <w:rPr>
          <w:spacing w:val="-12"/>
        </w:rPr>
        <w:t>于正常工作状态。</w:t>
      </w:r>
    </w:p>
    <w:p>
      <w:pPr>
        <w:pStyle w:val="BodyText"/>
        <w:spacing w:line="312" w:lineRule="auto"/>
        <w:ind w:left="320" w:right="446" w:firstLine="456"/>
        <w:jc w:val="both"/>
      </w:pPr>
      <w:r>
        <w:rPr>
          <w:spacing w:val="-10"/>
        </w:rPr>
        <w:t>第三条 消防控制室应确保高位消防水箱、消防水池、气压</w:t>
      </w:r>
      <w:r>
        <w:rPr>
          <w:spacing w:val="-16"/>
        </w:rPr>
        <w:t>水罐等消防储水设施水量充足；确保消防泵出水管阀门、自动喷</w:t>
      </w:r>
      <w:r>
        <w:rPr>
          <w:spacing w:val="-18"/>
        </w:rPr>
        <w:t>水灭火系统管道上的阀门常开；确保消防水泵、防排烟风机、防</w:t>
      </w:r>
      <w:r>
        <w:rPr>
          <w:spacing w:val="-12"/>
        </w:rPr>
        <w:t>火卷帘等消防用电设备的配电柜开关处于自动(接通)位置。</w:t>
      </w:r>
    </w:p>
    <w:p>
      <w:pPr>
        <w:pStyle w:val="BodyText"/>
        <w:spacing w:line="312" w:lineRule="auto" w:before="1"/>
        <w:ind w:left="320" w:right="449" w:firstLine="456"/>
        <w:jc w:val="both"/>
      </w:pPr>
      <w:r>
        <w:rPr>
          <w:spacing w:val="-10"/>
        </w:rPr>
        <w:t>第四条 接到火灾警报后，消防控制室必须立即以最快方式</w:t>
      </w:r>
      <w:r>
        <w:rPr>
          <w:spacing w:val="-12"/>
        </w:rPr>
        <w:t>确认。</w:t>
      </w:r>
    </w:p>
    <w:p>
      <w:pPr>
        <w:pStyle w:val="BodyText"/>
        <w:spacing w:line="312" w:lineRule="auto"/>
        <w:ind w:left="320" w:right="443" w:firstLine="456"/>
        <w:jc w:val="both"/>
      </w:pPr>
      <w:r>
        <w:rPr>
          <w:spacing w:val="-17"/>
        </w:rPr>
        <w:t>第五条火灾确认后，消防控制室必须立即将火灾报警联动控</w:t>
      </w:r>
      <w:r>
        <w:rPr>
          <w:spacing w:val="-19"/>
        </w:rPr>
        <w:t>制开关转入自动状态(处于自动状态的除外)，同时拨打 “</w:t>
      </w:r>
      <w:r>
        <w:rPr>
          <w:spacing w:val="-9"/>
        </w:rPr>
        <w:t>119” </w:t>
      </w:r>
      <w:r>
        <w:rPr>
          <w:spacing w:val="-12"/>
        </w:rPr>
        <w:t>火警电话报警。</w:t>
      </w:r>
    </w:p>
    <w:p>
      <w:pPr>
        <w:pStyle w:val="BodyText"/>
        <w:spacing w:line="312" w:lineRule="auto" w:before="1"/>
        <w:ind w:left="320" w:right="449" w:firstLine="456"/>
        <w:jc w:val="both"/>
      </w:pPr>
      <w:r>
        <w:rPr/>
        <w:t>第六条 消防控制室必须立即启动单位内部灭火和应急疏散预案，并应同时报告单位负责人。</w:t>
      </w:r>
    </w:p>
    <w:p>
      <w:pPr>
        <w:pStyle w:val="ListParagraph"/>
        <w:numPr>
          <w:ilvl w:val="0"/>
          <w:numId w:val="10"/>
        </w:numPr>
        <w:tabs>
          <w:tab w:pos="1136" w:val="left" w:leader="none"/>
        </w:tabs>
        <w:spacing w:line="240" w:lineRule="auto" w:before="19" w:after="0"/>
        <w:ind w:left="1135" w:right="0" w:hanging="353"/>
        <w:jc w:val="left"/>
        <w:rPr>
          <w:sz w:val="24"/>
        </w:rPr>
      </w:pPr>
      <w:r>
        <w:rPr>
          <w:spacing w:val="-9"/>
          <w:sz w:val="24"/>
        </w:rPr>
        <w:t>火灾报警处置程序</w:t>
      </w:r>
    </w:p>
    <w:p>
      <w:pPr>
        <w:spacing w:after="0" w:line="240" w:lineRule="auto"/>
        <w:jc w:val="left"/>
        <w:rPr>
          <w:sz w:val="24"/>
        </w:rPr>
        <w:sectPr>
          <w:pgSz w:w="8400" w:h="11910"/>
          <w:pgMar w:header="0" w:footer="875" w:top="1100" w:bottom="1060" w:left="700" w:right="560"/>
        </w:sectPr>
      </w:pPr>
    </w:p>
    <w:p>
      <w:pPr>
        <w:pStyle w:val="Heading1"/>
        <w:spacing w:before="48"/>
        <w:ind w:left="1996"/>
        <w:jc w:val="left"/>
      </w:pPr>
      <w:r>
        <w:rPr/>
        <w:drawing>
          <wp:anchor distT="0" distB="0" distL="0" distR="0" allowOverlap="1" layoutInCell="1" locked="0" behindDoc="0" simplePos="0" relativeHeight="251665408">
            <wp:simplePos x="0" y="0"/>
            <wp:positionH relativeFrom="page">
              <wp:posOffset>1710054</wp:posOffset>
            </wp:positionH>
            <wp:positionV relativeFrom="page">
              <wp:posOffset>5730875</wp:posOffset>
            </wp:positionV>
            <wp:extent cx="76421" cy="219075"/>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76421" cy="219075"/>
                    </a:xfrm>
                    <a:prstGeom prst="rect">
                      <a:avLst/>
                    </a:prstGeom>
                  </pic:spPr>
                </pic:pic>
              </a:graphicData>
            </a:graphic>
          </wp:anchor>
        </w:drawing>
      </w:r>
      <w:r>
        <w:rPr/>
        <w:t>火灾报警应急处置程序</w:t>
      </w:r>
    </w:p>
    <w:p>
      <w:pPr>
        <w:pStyle w:val="BodyText"/>
        <w:spacing w:before="6"/>
        <w:ind w:left="0"/>
        <w:rPr>
          <w:rFonts w:ascii="黑体"/>
          <w:sz w:val="17"/>
        </w:rPr>
      </w:pPr>
      <w:r>
        <w:rPr/>
        <w:pict>
          <v:group style="position:absolute;margin-left:63.5pt;margin-top:13.16125pt;width:283.650pt;height:361.9pt;mso-position-horizontal-relative:page;mso-position-vertical-relative:paragraph;z-index:-251653120;mso-wrap-distance-left:0;mso-wrap-distance-right:0" coordorigin="1270,263" coordsize="5673,7238">
            <v:shape style="position:absolute;left:1564;top:263;width:5379;height:3635" type="#_x0000_t75" alt="image14" stroked="false">
              <v:imagedata r:id="rId20" o:title=""/>
            </v:shape>
            <v:shape style="position:absolute;left:5328;top:3898;width:1518;height:514" type="#_x0000_t75" alt="image16" stroked="false">
              <v:imagedata r:id="rId21" o:title=""/>
            </v:shape>
            <v:shape style="position:absolute;left:1564;top:3898;width:2668;height:71" coordorigin="1564,3898" coordsize="2668,71" path="m1564,3898l2898,3898,2898,3969,4232,3969e" filled="false" stroked="true" strokeweight=".5pt" strokecolor="#000000">
              <v:path arrowok="t"/>
              <v:stroke dashstyle="solid"/>
            </v:shape>
            <v:shape style="position:absolute;left:1270;top:4213;width:3124;height:2088" type="#_x0000_t75" alt="image15" stroked="false">
              <v:imagedata r:id="rId22" o:title=""/>
            </v:shape>
            <v:shape style="position:absolute;left:1411;top:3888;width:163;height:347" type="#_x0000_t75" stroked="false">
              <v:imagedata r:id="rId23" o:title=""/>
            </v:shape>
            <v:shape style="position:absolute;left:2129;top:3894;width:163;height:347" type="#_x0000_t75" stroked="false">
              <v:imagedata r:id="rId24" o:title=""/>
            </v:shape>
            <v:shape style="position:absolute;left:2749;top:3884;width:163;height:347" type="#_x0000_t75" stroked="false">
              <v:imagedata r:id="rId25" o:title=""/>
            </v:shape>
            <v:shape style="position:absolute;left:4079;top:3959;width:163;height:272" type="#_x0000_t75" stroked="false">
              <v:imagedata r:id="rId26" o:title=""/>
            </v:shape>
            <v:shape style="position:absolute;left:3434;top:3959;width:163;height:282" type="#_x0000_t75" stroked="false">
              <v:imagedata r:id="rId27" o:title=""/>
            </v:shape>
            <v:shape style="position:absolute;left:2734;top:6291;width:120;height:344" type="#_x0000_t75" stroked="false">
              <v:imagedata r:id="rId19" o:title=""/>
            </v:shape>
            <v:shape style="position:absolute;left:1301;top:6635;width:3066;height:861" type="#_x0000_t202" filled="false" stroked="true" strokeweight=".5pt" strokecolor="#000000">
              <v:textbox inset="0,0,0,0">
                <w:txbxContent>
                  <w:p>
                    <w:pPr>
                      <w:spacing w:line="213" w:lineRule="auto" w:before="78"/>
                      <w:ind w:left="144" w:right="132" w:firstLine="0"/>
                      <w:jc w:val="both"/>
                      <w:rPr>
                        <w:rFonts w:ascii="宋体" w:eastAsia="宋体" w:hint="eastAsia"/>
                        <w:b/>
                        <w:sz w:val="21"/>
                      </w:rPr>
                    </w:pPr>
                    <w:r>
                      <w:rPr>
                        <w:rFonts w:ascii="宋体" w:eastAsia="宋体" w:hint="eastAsia"/>
                        <w:b/>
                        <w:sz w:val="21"/>
                      </w:rPr>
                      <w:t>通知人员查看各设备运行情况，启 动消防广播，协助人员疏散。</w:t>
                    </w:r>
                  </w:p>
                </w:txbxContent>
              </v:textbox>
              <v:stroke dashstyle="solid"/>
              <w10:wrap type="none"/>
            </v:shape>
            <w10:wrap type="topAndBottom"/>
          </v:group>
        </w:pict>
      </w:r>
      <w:r>
        <w:rPr/>
        <w:pict>
          <v:shape style="position:absolute;margin-left:65.050003pt;margin-top:391.711243pt;width:154.65pt;height:60.2pt;mso-position-horizontal-relative:page;mso-position-vertical-relative:paragraph;z-index:-251652096;mso-wrap-distance-left:0;mso-wrap-distance-right:0" type="#_x0000_t202" filled="false" stroked="true" strokeweight=".5pt" strokecolor="#000000">
            <v:textbox inset="0,0,0,0">
              <w:txbxContent>
                <w:p>
                  <w:pPr>
                    <w:spacing w:line="302" w:lineRule="auto" w:before="136"/>
                    <w:ind w:left="144" w:right="163" w:firstLine="0"/>
                    <w:jc w:val="both"/>
                    <w:rPr>
                      <w:rFonts w:ascii="宋体" w:eastAsia="宋体" w:hint="eastAsia"/>
                      <w:b/>
                      <w:sz w:val="21"/>
                    </w:rPr>
                  </w:pPr>
                  <w:r>
                    <w:rPr>
                      <w:rFonts w:ascii="宋体" w:eastAsia="宋体" w:hint="eastAsia"/>
                      <w:b/>
                      <w:sz w:val="21"/>
                    </w:rPr>
                    <w:t>全部事项处理完毕后， 先将所有联 动设备复位，再将报警主机复位， 并记录备案。</w:t>
                  </w:r>
                </w:p>
              </w:txbxContent>
            </v:textbox>
            <v:stroke dashstyle="solid"/>
            <w10:wrap type="topAndBottom"/>
          </v:shape>
        </w:pict>
      </w:r>
    </w:p>
    <w:p>
      <w:pPr>
        <w:pStyle w:val="BodyText"/>
        <w:spacing w:before="3"/>
        <w:ind w:left="0"/>
        <w:rPr>
          <w:rFonts w:ascii="黑体"/>
          <w:sz w:val="20"/>
        </w:rPr>
      </w:pPr>
    </w:p>
    <w:p>
      <w:pPr>
        <w:spacing w:after="0"/>
        <w:rPr>
          <w:rFonts w:ascii="黑体"/>
          <w:sz w:val="20"/>
        </w:rPr>
        <w:sectPr>
          <w:pgSz w:w="8400" w:h="11910"/>
          <w:pgMar w:header="0" w:footer="834" w:top="1100" w:bottom="1020" w:left="700" w:right="560"/>
        </w:sectPr>
      </w:pPr>
    </w:p>
    <w:p>
      <w:pPr>
        <w:pStyle w:val="Heading3"/>
        <w:spacing w:before="142"/>
        <w:ind w:left="800"/>
        <w:rPr>
          <w:rFonts w:ascii="仿宋" w:eastAsia="仿宋" w:hint="eastAsia"/>
        </w:rPr>
      </w:pPr>
      <w:r>
        <w:rPr>
          <w:rFonts w:ascii="仿宋" w:eastAsia="仿宋" w:hint="eastAsia"/>
        </w:rPr>
        <w:t>2、消防水泵房</w:t>
      </w:r>
    </w:p>
    <w:p>
      <w:pPr>
        <w:pStyle w:val="BodyText"/>
        <w:spacing w:before="131"/>
        <w:ind w:left="800"/>
      </w:pPr>
      <w:r>
        <w:rPr/>
        <w:t>消防水泵房管理制度</w:t>
      </w:r>
    </w:p>
    <w:p>
      <w:pPr>
        <w:pStyle w:val="BodyText"/>
        <w:spacing w:line="343" w:lineRule="auto" w:before="135"/>
        <w:ind w:left="320" w:right="449" w:firstLine="480"/>
        <w:jc w:val="both"/>
      </w:pPr>
      <w:r>
        <w:rPr/>
        <w:t>第一条 消防泵房、地下水池、屋面水箱、消防水系统、设备等，应指定专人负责。作好日常运行的巡查、点检、抄表 及状态监控，并做好记录。</w:t>
      </w:r>
    </w:p>
    <w:p>
      <w:pPr>
        <w:pStyle w:val="BodyText"/>
        <w:spacing w:line="343" w:lineRule="auto"/>
        <w:ind w:left="320" w:right="463" w:firstLine="480"/>
        <w:jc w:val="both"/>
      </w:pPr>
      <w:r>
        <w:rPr/>
        <w:t>第二条 消防泵房内机电设备由工程部值班人员负责操作，无关人员不得进入水泵房。</w:t>
      </w:r>
    </w:p>
    <w:p>
      <w:pPr>
        <w:pStyle w:val="BodyText"/>
        <w:spacing w:line="345" w:lineRule="auto"/>
        <w:ind w:left="320" w:right="459" w:firstLine="480"/>
        <w:jc w:val="both"/>
      </w:pPr>
      <w:r>
        <w:rPr/>
        <w:t>第三条 消防泵、稳压泵、污水泵在正常情况下，选择开关应放在自动位置，所有操作标志简单明确。</w:t>
      </w:r>
    </w:p>
    <w:p>
      <w:pPr>
        <w:pStyle w:val="BodyText"/>
        <w:spacing w:line="343" w:lineRule="auto"/>
        <w:ind w:left="320" w:right="459" w:firstLine="480"/>
        <w:jc w:val="both"/>
      </w:pPr>
      <w:r>
        <w:rPr/>
        <w:t>第四条 消防水泵每周至少轮换使用一次，接触器主开关每月检查一次。</w:t>
      </w:r>
    </w:p>
    <w:p>
      <w:pPr>
        <w:pStyle w:val="BodyText"/>
        <w:spacing w:line="343" w:lineRule="auto"/>
        <w:ind w:left="320" w:right="459" w:firstLine="480"/>
        <w:jc w:val="both"/>
      </w:pPr>
      <w:r>
        <w:rPr/>
        <w:t>第五条 消防泵每月进行一次“自动、手动”切换操作检查。</w:t>
      </w:r>
    </w:p>
    <w:p>
      <w:pPr>
        <w:pStyle w:val="BodyText"/>
        <w:spacing w:line="345" w:lineRule="auto"/>
        <w:ind w:left="320" w:right="455" w:firstLine="480"/>
      </w:pPr>
      <w:r>
        <w:rPr/>
        <w:t>第六条消防泵房每周打扫一次，泵及管道每月检查、清洁一次，并进行润滑、坚固、调整。</w:t>
      </w:r>
    </w:p>
    <w:p>
      <w:pPr>
        <w:pStyle w:val="Heading3"/>
        <w:spacing w:line="303" w:lineRule="exact"/>
        <w:rPr>
          <w:rFonts w:ascii="仿宋" w:eastAsia="仿宋" w:hint="eastAsia"/>
        </w:rPr>
      </w:pPr>
      <w:r>
        <w:rPr>
          <w:rFonts w:ascii="仿宋" w:eastAsia="仿宋" w:hint="eastAsia"/>
        </w:rPr>
        <w:t>3、强、弱电间</w:t>
      </w:r>
    </w:p>
    <w:p>
      <w:pPr>
        <w:pStyle w:val="BodyText"/>
        <w:spacing w:before="127"/>
        <w:ind w:left="800"/>
      </w:pPr>
      <w:r>
        <w:rPr/>
        <w:t>强、弱电间管理制度</w:t>
      </w:r>
    </w:p>
    <w:p>
      <w:pPr>
        <w:pStyle w:val="BodyText"/>
        <w:spacing w:line="343" w:lineRule="auto" w:before="135"/>
        <w:ind w:left="320" w:right="459" w:firstLine="480"/>
      </w:pPr>
      <w:r>
        <w:rPr/>
        <w:t>第一条 强、弱电间的门及房间内电柜、电箱应锁闭，房间内各种开关应标志清晰。</w:t>
      </w:r>
    </w:p>
    <w:p>
      <w:pPr>
        <w:pStyle w:val="BodyText"/>
        <w:spacing w:line="345" w:lineRule="auto"/>
        <w:ind w:left="320" w:right="459" w:firstLine="480"/>
      </w:pPr>
      <w:r>
        <w:rPr/>
        <w:t>第二条 强、弱电间内每月清扫一次，严禁吸烟、堆放杂物。</w:t>
      </w:r>
    </w:p>
    <w:p>
      <w:pPr>
        <w:spacing w:after="0" w:line="345" w:lineRule="auto"/>
        <w:sectPr>
          <w:pgSz w:w="8400" w:h="11910"/>
          <w:pgMar w:header="0" w:footer="875" w:top="1100" w:bottom="1060" w:left="700" w:right="560"/>
        </w:sectPr>
      </w:pPr>
    </w:p>
    <w:p>
      <w:pPr>
        <w:pStyle w:val="BodyText"/>
        <w:spacing w:line="343" w:lineRule="auto" w:before="142"/>
        <w:ind w:left="320" w:right="449" w:firstLine="480"/>
      </w:pPr>
      <w:r>
        <w:rPr/>
        <w:t>第三条 强、弱电间每天检查一次内部设备，并做记录， 发现异常立刻上报维修。</w:t>
      </w:r>
    </w:p>
    <w:p>
      <w:pPr>
        <w:pStyle w:val="BodyText"/>
        <w:spacing w:line="343" w:lineRule="auto" w:before="1"/>
        <w:ind w:left="320" w:right="459" w:firstLine="480"/>
      </w:pPr>
      <w:r>
        <w:rPr/>
        <w:t>第四条 工程部根据计划定期保养强电间内设施，重点做好设备清洁和紧固接线端子。</w:t>
      </w:r>
    </w:p>
    <w:p>
      <w:pPr>
        <w:pStyle w:val="BodyText"/>
        <w:spacing w:line="306" w:lineRule="exact"/>
        <w:ind w:left="800"/>
      </w:pPr>
      <w:r>
        <w:rPr/>
        <w:t>第五条 检查和保养结束后填写设备检修记录。</w:t>
      </w:r>
    </w:p>
    <w:p>
      <w:pPr>
        <w:pStyle w:val="BodyText"/>
        <w:spacing w:line="343" w:lineRule="auto" w:before="134"/>
        <w:ind w:left="440" w:right="400" w:firstLine="360"/>
        <w:jc w:val="both"/>
      </w:pPr>
      <w:r>
        <w:rPr>
          <w:spacing w:val="-2"/>
        </w:rPr>
        <w:t>第六条 需临时用电时，用电方应向工程部以书面形式申</w:t>
      </w:r>
      <w:r>
        <w:rPr>
          <w:spacing w:val="-16"/>
        </w:rPr>
        <w:t>请用电，并注明用电方全称、用电地点、负荷量、电压等级、</w:t>
      </w:r>
      <w:r>
        <w:rPr/>
        <w:t>相数及时间。</w:t>
      </w:r>
    </w:p>
    <w:p>
      <w:pPr>
        <w:pStyle w:val="BodyText"/>
        <w:spacing w:line="343" w:lineRule="auto" w:before="2"/>
        <w:ind w:left="440" w:right="459" w:firstLine="360"/>
        <w:jc w:val="both"/>
      </w:pPr>
      <w:r>
        <w:rPr/>
        <w:t>第七条 工程部批准后，给用电方找合适用电位置，用电方负责接线，双方确认后送电，并注意用电安全。</w:t>
      </w:r>
    </w:p>
    <w:p>
      <w:pPr>
        <w:pStyle w:val="BodyText"/>
        <w:spacing w:line="345" w:lineRule="auto"/>
        <w:ind w:left="440" w:right="459" w:firstLine="360"/>
        <w:jc w:val="both"/>
      </w:pPr>
      <w:r>
        <w:rPr/>
        <w:t>第八条 未经主管人员同意，不得私自更改设备线路和运行设置。特殊情况下，须经主管人员批准。</w:t>
      </w:r>
    </w:p>
    <w:p>
      <w:pPr>
        <w:pStyle w:val="BodyText"/>
        <w:spacing w:line="303" w:lineRule="exact"/>
        <w:ind w:left="800"/>
        <w:jc w:val="both"/>
      </w:pPr>
      <w:r>
        <w:rPr/>
        <w:t>第九条 合断闸时严格按照用电安全流程操作。</w:t>
      </w:r>
    </w:p>
    <w:p>
      <w:pPr>
        <w:spacing w:after="0" w:line="303" w:lineRule="exact"/>
        <w:jc w:val="both"/>
        <w:sectPr>
          <w:pgSz w:w="8400" w:h="11910"/>
          <w:pgMar w:header="0" w:footer="834" w:top="1100" w:bottom="1020" w:left="700" w:right="560"/>
        </w:sectPr>
      </w:pPr>
    </w:p>
    <w:p>
      <w:pPr>
        <w:pStyle w:val="Heading2"/>
        <w:spacing w:before="85"/>
        <w:ind w:left="320"/>
        <w:jc w:val="left"/>
      </w:pPr>
      <w:bookmarkStart w:name="_bookmark23" w:id="24"/>
      <w:bookmarkEnd w:id="24"/>
      <w:r>
        <w:rPr>
          <w:b w:val="0"/>
        </w:rPr>
      </w:r>
      <w:r>
        <w:rPr/>
        <w:t>附件一：市消防安全重点单位消防档案样表</w:t>
      </w:r>
    </w:p>
    <w:p>
      <w:pPr>
        <w:pStyle w:val="BodyText"/>
        <w:ind w:left="0"/>
        <w:rPr>
          <w:b/>
          <w:sz w:val="28"/>
        </w:rPr>
      </w:pPr>
    </w:p>
    <w:p>
      <w:pPr>
        <w:pStyle w:val="BodyText"/>
        <w:ind w:left="0"/>
        <w:rPr>
          <w:b/>
          <w:sz w:val="28"/>
        </w:rPr>
      </w:pPr>
    </w:p>
    <w:p>
      <w:pPr>
        <w:spacing w:before="221"/>
        <w:ind w:left="266" w:right="407" w:firstLine="0"/>
        <w:jc w:val="center"/>
        <w:rPr>
          <w:rFonts w:ascii="黑体" w:eastAsia="黑体" w:hint="eastAsia"/>
          <w:sz w:val="30"/>
        </w:rPr>
      </w:pPr>
      <w:r>
        <w:rPr>
          <w:rFonts w:ascii="黑体" w:eastAsia="黑体" w:hint="eastAsia"/>
          <w:sz w:val="30"/>
        </w:rPr>
        <w:t>张家界市消防安全重点单位申报表</w:t>
      </w:r>
    </w:p>
    <w:p>
      <w:pPr>
        <w:pStyle w:val="BodyText"/>
        <w:ind w:left="0"/>
        <w:rPr>
          <w:rFonts w:ascii="黑体"/>
          <w:sz w:val="30"/>
        </w:rPr>
      </w:pPr>
    </w:p>
    <w:p>
      <w:pPr>
        <w:pStyle w:val="BodyText"/>
        <w:ind w:left="0"/>
        <w:rPr>
          <w:rFonts w:ascii="黑体"/>
          <w:sz w:val="30"/>
        </w:rPr>
      </w:pPr>
    </w:p>
    <w:p>
      <w:pPr>
        <w:pStyle w:val="BodyText"/>
        <w:ind w:left="0"/>
        <w:rPr>
          <w:rFonts w:ascii="黑体"/>
          <w:sz w:val="30"/>
        </w:rPr>
      </w:pPr>
    </w:p>
    <w:p>
      <w:pPr>
        <w:pStyle w:val="BodyText"/>
        <w:ind w:left="0"/>
        <w:rPr>
          <w:rFonts w:ascii="黑体"/>
          <w:sz w:val="30"/>
        </w:rPr>
      </w:pPr>
    </w:p>
    <w:p>
      <w:pPr>
        <w:pStyle w:val="BodyText"/>
        <w:ind w:left="0"/>
        <w:rPr>
          <w:rFonts w:ascii="黑体"/>
          <w:sz w:val="30"/>
        </w:rPr>
      </w:pPr>
    </w:p>
    <w:p>
      <w:pPr>
        <w:pStyle w:val="BodyText"/>
        <w:spacing w:before="7"/>
        <w:ind w:left="0"/>
        <w:rPr>
          <w:rFonts w:ascii="黑体"/>
          <w:sz w:val="28"/>
        </w:rPr>
      </w:pPr>
    </w:p>
    <w:p>
      <w:pPr>
        <w:tabs>
          <w:tab w:pos="5738" w:val="left" w:leader="none"/>
        </w:tabs>
        <w:spacing w:before="0"/>
        <w:ind w:left="266" w:right="0" w:firstLine="0"/>
        <w:jc w:val="center"/>
        <w:rPr>
          <w:rFonts w:ascii="Times New Roman" w:eastAsia="Times New Roman"/>
          <w:sz w:val="30"/>
        </w:rPr>
      </w:pPr>
      <w:r>
        <w:rPr>
          <w:rFonts w:ascii="宋体" w:eastAsia="宋体" w:hint="eastAsia"/>
          <w:sz w:val="30"/>
        </w:rPr>
        <w:t>单位名称：</w:t>
      </w:r>
      <w:r>
        <w:rPr>
          <w:rFonts w:ascii="Times New Roman" w:eastAsia="Times New Roman"/>
          <w:sz w:val="30"/>
          <w:u w:val="single"/>
        </w:rPr>
        <w:t> </w:t>
        <w:tab/>
      </w:r>
    </w:p>
    <w:p>
      <w:pPr>
        <w:pStyle w:val="BodyText"/>
        <w:ind w:left="0"/>
        <w:rPr>
          <w:rFonts w:ascii="Times New Roman"/>
          <w:sz w:val="20"/>
        </w:rPr>
      </w:pPr>
    </w:p>
    <w:p>
      <w:pPr>
        <w:pStyle w:val="BodyText"/>
        <w:ind w:left="0"/>
        <w:rPr>
          <w:rFonts w:ascii="Times New Roman"/>
          <w:sz w:val="20"/>
        </w:rPr>
      </w:pPr>
    </w:p>
    <w:p>
      <w:pPr>
        <w:pStyle w:val="BodyText"/>
        <w:spacing w:before="2"/>
        <w:ind w:left="0"/>
        <w:rPr>
          <w:rFonts w:ascii="Times New Roman"/>
          <w:sz w:val="22"/>
        </w:rPr>
      </w:pPr>
    </w:p>
    <w:p>
      <w:pPr>
        <w:tabs>
          <w:tab w:pos="5738" w:val="left" w:leader="none"/>
        </w:tabs>
        <w:spacing w:before="67"/>
        <w:ind w:left="266" w:right="0" w:firstLine="0"/>
        <w:jc w:val="center"/>
        <w:rPr>
          <w:rFonts w:ascii="Times New Roman" w:eastAsia="Times New Roman"/>
          <w:sz w:val="30"/>
        </w:rPr>
      </w:pPr>
      <w:r>
        <w:rPr>
          <w:rFonts w:ascii="宋体" w:eastAsia="宋体" w:hint="eastAsia"/>
          <w:sz w:val="30"/>
        </w:rPr>
        <w:t>单位地址：</w:t>
      </w:r>
      <w:r>
        <w:rPr>
          <w:rFonts w:ascii="Times New Roman" w:eastAsia="Times New Roman"/>
          <w:sz w:val="30"/>
          <w:u w:val="single"/>
        </w:rPr>
        <w:t> </w:t>
        <w:tab/>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8"/>
        <w:ind w:left="0"/>
        <w:rPr>
          <w:rFonts w:ascii="Times New Roman"/>
          <w:sz w:val="20"/>
        </w:rPr>
      </w:pPr>
    </w:p>
    <w:p>
      <w:pPr>
        <w:spacing w:before="58"/>
        <w:ind w:left="1840" w:right="0" w:firstLine="0"/>
        <w:jc w:val="left"/>
        <w:rPr>
          <w:b/>
          <w:sz w:val="30"/>
        </w:rPr>
      </w:pPr>
      <w:r>
        <w:rPr>
          <w:b/>
          <w:sz w:val="30"/>
        </w:rPr>
        <w:t>张家界市消防救援支队制</w:t>
      </w:r>
    </w:p>
    <w:p>
      <w:pPr>
        <w:spacing w:after="0"/>
        <w:jc w:val="left"/>
        <w:rPr>
          <w:sz w:val="30"/>
        </w:rPr>
        <w:sectPr>
          <w:pgSz w:w="8400" w:h="11910"/>
          <w:pgMar w:header="0" w:footer="875" w:top="1100" w:bottom="1060" w:left="700" w:right="560"/>
        </w:sectPr>
      </w:pPr>
    </w:p>
    <w:p>
      <w:pPr>
        <w:spacing w:before="29" w:after="5"/>
        <w:ind w:left="1696" w:right="0" w:firstLine="0"/>
        <w:jc w:val="left"/>
        <w:rPr>
          <w:rFonts w:ascii="黑体" w:eastAsia="黑体" w:hint="eastAsia"/>
          <w:sz w:val="30"/>
        </w:rPr>
      </w:pPr>
      <w:r>
        <w:rPr>
          <w:rFonts w:ascii="黑体" w:eastAsia="黑体" w:hint="eastAsia"/>
          <w:sz w:val="30"/>
        </w:rPr>
        <w:t>消防安全重点单位档案目录</w:t>
      </w: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
        <w:gridCol w:w="5188"/>
        <w:gridCol w:w="708"/>
      </w:tblGrid>
      <w:tr>
        <w:trPr>
          <w:trHeight w:val="446" w:hRule="atLeast"/>
        </w:trPr>
        <w:tc>
          <w:tcPr>
            <w:tcW w:w="713" w:type="dxa"/>
          </w:tcPr>
          <w:p>
            <w:pPr>
              <w:pStyle w:val="TableParagraph"/>
              <w:spacing w:before="87"/>
              <w:ind w:left="129" w:right="113"/>
              <w:jc w:val="center"/>
              <w:rPr>
                <w:sz w:val="21"/>
              </w:rPr>
            </w:pPr>
            <w:r>
              <w:rPr>
                <w:sz w:val="21"/>
              </w:rPr>
              <w:t>编号</w:t>
            </w:r>
          </w:p>
        </w:tc>
        <w:tc>
          <w:tcPr>
            <w:tcW w:w="5188" w:type="dxa"/>
          </w:tcPr>
          <w:p>
            <w:pPr>
              <w:pStyle w:val="TableParagraph"/>
              <w:spacing w:before="87"/>
              <w:ind w:left="368" w:right="357"/>
              <w:jc w:val="center"/>
              <w:rPr>
                <w:sz w:val="21"/>
              </w:rPr>
            </w:pPr>
            <w:r>
              <w:rPr>
                <w:sz w:val="21"/>
              </w:rPr>
              <w:t>名称</w:t>
            </w:r>
          </w:p>
        </w:tc>
        <w:tc>
          <w:tcPr>
            <w:tcW w:w="708" w:type="dxa"/>
          </w:tcPr>
          <w:p>
            <w:pPr>
              <w:pStyle w:val="TableParagraph"/>
              <w:spacing w:before="87"/>
              <w:ind w:left="143"/>
              <w:rPr>
                <w:sz w:val="21"/>
              </w:rPr>
            </w:pPr>
            <w:r>
              <w:rPr>
                <w:sz w:val="21"/>
              </w:rPr>
              <w:t>页数</w:t>
            </w:r>
          </w:p>
        </w:tc>
      </w:tr>
      <w:tr>
        <w:trPr>
          <w:trHeight w:val="446" w:hRule="atLeast"/>
        </w:trPr>
        <w:tc>
          <w:tcPr>
            <w:tcW w:w="713" w:type="dxa"/>
          </w:tcPr>
          <w:p>
            <w:pPr>
              <w:pStyle w:val="TableParagraph"/>
              <w:spacing w:before="87"/>
              <w:ind w:left="11"/>
              <w:jc w:val="center"/>
              <w:rPr>
                <w:sz w:val="21"/>
              </w:rPr>
            </w:pPr>
            <w:r>
              <w:rPr>
                <w:w w:val="100"/>
                <w:sz w:val="21"/>
              </w:rPr>
              <w:t>1</w:t>
            </w:r>
          </w:p>
        </w:tc>
        <w:tc>
          <w:tcPr>
            <w:tcW w:w="5188" w:type="dxa"/>
          </w:tcPr>
          <w:p>
            <w:pPr>
              <w:pStyle w:val="TableParagraph"/>
              <w:spacing w:before="87"/>
              <w:ind w:left="368" w:right="357"/>
              <w:jc w:val="center"/>
              <w:rPr>
                <w:sz w:val="21"/>
              </w:rPr>
            </w:pPr>
            <w:r>
              <w:rPr>
                <w:sz w:val="21"/>
              </w:rPr>
              <w:t>消防安全重点单位告知书</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1"/>
              <w:jc w:val="center"/>
              <w:rPr>
                <w:sz w:val="21"/>
              </w:rPr>
            </w:pPr>
            <w:r>
              <w:rPr>
                <w:w w:val="100"/>
                <w:sz w:val="21"/>
              </w:rPr>
              <w:t>2</w:t>
            </w:r>
          </w:p>
        </w:tc>
        <w:tc>
          <w:tcPr>
            <w:tcW w:w="5188" w:type="dxa"/>
          </w:tcPr>
          <w:p>
            <w:pPr>
              <w:pStyle w:val="TableParagraph"/>
              <w:spacing w:before="87"/>
              <w:ind w:left="368" w:right="357"/>
              <w:jc w:val="center"/>
              <w:rPr>
                <w:sz w:val="21"/>
              </w:rPr>
            </w:pPr>
            <w:r>
              <w:rPr>
                <w:sz w:val="21"/>
              </w:rPr>
              <w:t>消防安全重点单位申报表</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1"/>
              <w:jc w:val="center"/>
              <w:rPr>
                <w:sz w:val="21"/>
              </w:rPr>
            </w:pPr>
            <w:r>
              <w:rPr>
                <w:w w:val="100"/>
                <w:sz w:val="21"/>
              </w:rPr>
              <w:t>3</w:t>
            </w:r>
          </w:p>
        </w:tc>
        <w:tc>
          <w:tcPr>
            <w:tcW w:w="5188" w:type="dxa"/>
          </w:tcPr>
          <w:p>
            <w:pPr>
              <w:pStyle w:val="TableParagraph"/>
              <w:spacing w:before="87"/>
              <w:ind w:left="368" w:right="357"/>
              <w:jc w:val="center"/>
              <w:rPr>
                <w:sz w:val="21"/>
              </w:rPr>
            </w:pPr>
            <w:r>
              <w:rPr>
                <w:sz w:val="21"/>
              </w:rPr>
              <w:t>单位工商营业执照等身份证明文件</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1"/>
              <w:jc w:val="center"/>
              <w:rPr>
                <w:sz w:val="21"/>
              </w:rPr>
            </w:pPr>
            <w:r>
              <w:rPr>
                <w:w w:val="100"/>
                <w:sz w:val="21"/>
              </w:rPr>
              <w:t>4</w:t>
            </w:r>
          </w:p>
        </w:tc>
        <w:tc>
          <w:tcPr>
            <w:tcW w:w="5188" w:type="dxa"/>
          </w:tcPr>
          <w:p>
            <w:pPr>
              <w:pStyle w:val="TableParagraph"/>
              <w:spacing w:before="87"/>
              <w:ind w:left="368" w:right="357"/>
              <w:jc w:val="center"/>
              <w:rPr>
                <w:sz w:val="21"/>
              </w:rPr>
            </w:pPr>
            <w:r>
              <w:rPr>
                <w:sz w:val="21"/>
              </w:rPr>
              <w:t>单位消防安全基本情况</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8"/>
              <w:ind w:left="129" w:right="113"/>
              <w:jc w:val="center"/>
              <w:rPr>
                <w:sz w:val="21"/>
              </w:rPr>
            </w:pPr>
            <w:r>
              <w:rPr>
                <w:sz w:val="21"/>
              </w:rPr>
              <w:t>4.1</w:t>
            </w:r>
          </w:p>
        </w:tc>
        <w:tc>
          <w:tcPr>
            <w:tcW w:w="5188" w:type="dxa"/>
          </w:tcPr>
          <w:p>
            <w:pPr>
              <w:pStyle w:val="TableParagraph"/>
              <w:spacing w:before="88"/>
              <w:ind w:left="368" w:right="359"/>
              <w:jc w:val="center"/>
              <w:rPr>
                <w:sz w:val="21"/>
              </w:rPr>
            </w:pPr>
            <w:r>
              <w:rPr>
                <w:sz w:val="21"/>
              </w:rPr>
              <w:t>单位消防安全责任人基本情况</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29" w:right="113"/>
              <w:jc w:val="center"/>
              <w:rPr>
                <w:sz w:val="21"/>
              </w:rPr>
            </w:pPr>
            <w:r>
              <w:rPr>
                <w:sz w:val="21"/>
              </w:rPr>
              <w:t>4.2</w:t>
            </w:r>
          </w:p>
        </w:tc>
        <w:tc>
          <w:tcPr>
            <w:tcW w:w="5188" w:type="dxa"/>
          </w:tcPr>
          <w:p>
            <w:pPr>
              <w:pStyle w:val="TableParagraph"/>
              <w:spacing w:before="87"/>
              <w:ind w:left="368" w:right="359"/>
              <w:jc w:val="center"/>
              <w:rPr>
                <w:sz w:val="21"/>
              </w:rPr>
            </w:pPr>
            <w:r>
              <w:rPr>
                <w:sz w:val="21"/>
              </w:rPr>
              <w:t>单位消防安全管理人基本情况</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29" w:right="113"/>
              <w:jc w:val="center"/>
              <w:rPr>
                <w:sz w:val="21"/>
              </w:rPr>
            </w:pPr>
            <w:r>
              <w:rPr>
                <w:sz w:val="21"/>
              </w:rPr>
              <w:t>4.3</w:t>
            </w:r>
          </w:p>
        </w:tc>
        <w:tc>
          <w:tcPr>
            <w:tcW w:w="5188" w:type="dxa"/>
          </w:tcPr>
          <w:p>
            <w:pPr>
              <w:pStyle w:val="TableParagraph"/>
              <w:spacing w:before="87"/>
              <w:ind w:left="368" w:right="360"/>
              <w:jc w:val="center"/>
              <w:rPr>
                <w:sz w:val="21"/>
              </w:rPr>
            </w:pPr>
            <w:r>
              <w:rPr>
                <w:sz w:val="21"/>
              </w:rPr>
              <w:t>单位消防安全制度</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29" w:right="113"/>
              <w:jc w:val="center"/>
              <w:rPr>
                <w:sz w:val="21"/>
              </w:rPr>
            </w:pPr>
            <w:r>
              <w:rPr>
                <w:sz w:val="21"/>
              </w:rPr>
              <w:t>4.4</w:t>
            </w:r>
          </w:p>
        </w:tc>
        <w:tc>
          <w:tcPr>
            <w:tcW w:w="5188" w:type="dxa"/>
          </w:tcPr>
          <w:p>
            <w:pPr>
              <w:pStyle w:val="TableParagraph"/>
              <w:spacing w:before="87"/>
              <w:ind w:left="368" w:right="359"/>
              <w:jc w:val="center"/>
              <w:rPr>
                <w:sz w:val="21"/>
              </w:rPr>
            </w:pPr>
            <w:r>
              <w:rPr>
                <w:sz w:val="21"/>
              </w:rPr>
              <w:t>建筑、场所的消防行政许可、备案文件</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29" w:right="113"/>
              <w:jc w:val="center"/>
              <w:rPr>
                <w:sz w:val="21"/>
              </w:rPr>
            </w:pPr>
            <w:r>
              <w:rPr>
                <w:sz w:val="21"/>
              </w:rPr>
              <w:t>4.5</w:t>
            </w:r>
          </w:p>
        </w:tc>
        <w:tc>
          <w:tcPr>
            <w:tcW w:w="5188" w:type="dxa"/>
          </w:tcPr>
          <w:p>
            <w:pPr>
              <w:pStyle w:val="TableParagraph"/>
              <w:spacing w:before="87"/>
              <w:ind w:left="368" w:right="357"/>
              <w:jc w:val="center"/>
              <w:rPr>
                <w:sz w:val="21"/>
              </w:rPr>
            </w:pPr>
            <w:r>
              <w:rPr>
                <w:sz w:val="21"/>
              </w:rPr>
              <w:t>主要建筑的消防基本情况</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29" w:right="113"/>
              <w:jc w:val="center"/>
              <w:rPr>
                <w:sz w:val="21"/>
              </w:rPr>
            </w:pPr>
            <w:r>
              <w:rPr>
                <w:sz w:val="21"/>
              </w:rPr>
              <w:t>4.6</w:t>
            </w:r>
          </w:p>
        </w:tc>
        <w:tc>
          <w:tcPr>
            <w:tcW w:w="5188" w:type="dxa"/>
          </w:tcPr>
          <w:p>
            <w:pPr>
              <w:pStyle w:val="TableParagraph"/>
              <w:spacing w:before="87"/>
              <w:ind w:left="368" w:right="357"/>
              <w:jc w:val="center"/>
              <w:rPr>
                <w:sz w:val="21"/>
              </w:rPr>
            </w:pPr>
            <w:r>
              <w:rPr>
                <w:sz w:val="21"/>
              </w:rPr>
              <w:t>消防安全重点部位情况</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8"/>
              <w:ind w:left="129" w:right="113"/>
              <w:jc w:val="center"/>
              <w:rPr>
                <w:sz w:val="21"/>
              </w:rPr>
            </w:pPr>
            <w:r>
              <w:rPr>
                <w:sz w:val="21"/>
              </w:rPr>
              <w:t>4.7</w:t>
            </w:r>
          </w:p>
        </w:tc>
        <w:tc>
          <w:tcPr>
            <w:tcW w:w="5188" w:type="dxa"/>
          </w:tcPr>
          <w:p>
            <w:pPr>
              <w:pStyle w:val="TableParagraph"/>
              <w:spacing w:before="88"/>
              <w:ind w:left="368" w:right="360"/>
              <w:jc w:val="center"/>
              <w:rPr>
                <w:sz w:val="21"/>
              </w:rPr>
            </w:pPr>
            <w:r>
              <w:rPr>
                <w:sz w:val="21"/>
              </w:rPr>
              <w:t>专职(志愿)消防队、微型消防站等及其建设情况</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29" w:right="113"/>
              <w:jc w:val="center"/>
              <w:rPr>
                <w:sz w:val="21"/>
              </w:rPr>
            </w:pPr>
            <w:r>
              <w:rPr>
                <w:sz w:val="21"/>
              </w:rPr>
              <w:t>4.8</w:t>
            </w:r>
          </w:p>
        </w:tc>
        <w:tc>
          <w:tcPr>
            <w:tcW w:w="5188" w:type="dxa"/>
          </w:tcPr>
          <w:p>
            <w:pPr>
              <w:pStyle w:val="TableParagraph"/>
              <w:spacing w:before="87"/>
              <w:ind w:left="368" w:right="357"/>
              <w:jc w:val="center"/>
              <w:rPr>
                <w:sz w:val="21"/>
              </w:rPr>
            </w:pPr>
            <w:r>
              <w:rPr>
                <w:sz w:val="21"/>
              </w:rPr>
              <w:t>自动消防设施操作人员证书复印件</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29" w:right="113"/>
              <w:jc w:val="center"/>
              <w:rPr>
                <w:sz w:val="21"/>
              </w:rPr>
            </w:pPr>
            <w:r>
              <w:rPr>
                <w:sz w:val="21"/>
              </w:rPr>
              <w:t>4.9</w:t>
            </w:r>
          </w:p>
        </w:tc>
        <w:tc>
          <w:tcPr>
            <w:tcW w:w="5188" w:type="dxa"/>
          </w:tcPr>
          <w:p>
            <w:pPr>
              <w:pStyle w:val="TableParagraph"/>
              <w:spacing w:before="87"/>
              <w:ind w:left="368" w:right="360"/>
              <w:jc w:val="center"/>
              <w:rPr>
                <w:sz w:val="21"/>
              </w:rPr>
            </w:pPr>
            <w:r>
              <w:rPr>
                <w:sz w:val="21"/>
              </w:rPr>
              <w:t>灭火应急疏散预案</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29" w:right="113"/>
              <w:jc w:val="center"/>
              <w:rPr>
                <w:sz w:val="21"/>
              </w:rPr>
            </w:pPr>
            <w:r>
              <w:rPr>
                <w:sz w:val="21"/>
              </w:rPr>
              <w:t>4.10</w:t>
            </w:r>
          </w:p>
        </w:tc>
        <w:tc>
          <w:tcPr>
            <w:tcW w:w="5188" w:type="dxa"/>
          </w:tcPr>
          <w:p>
            <w:pPr>
              <w:pStyle w:val="TableParagraph"/>
              <w:spacing w:before="87"/>
              <w:ind w:left="368" w:right="359"/>
              <w:jc w:val="center"/>
              <w:rPr>
                <w:sz w:val="21"/>
              </w:rPr>
            </w:pPr>
            <w:r>
              <w:rPr>
                <w:sz w:val="21"/>
              </w:rPr>
              <w:t>建筑消防设施年度检测情况</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1"/>
              <w:jc w:val="center"/>
              <w:rPr>
                <w:sz w:val="21"/>
              </w:rPr>
            </w:pPr>
            <w:r>
              <w:rPr>
                <w:w w:val="100"/>
                <w:sz w:val="21"/>
              </w:rPr>
              <w:t>5</w:t>
            </w:r>
          </w:p>
        </w:tc>
        <w:tc>
          <w:tcPr>
            <w:tcW w:w="5188" w:type="dxa"/>
          </w:tcPr>
          <w:p>
            <w:pPr>
              <w:pStyle w:val="TableParagraph"/>
              <w:spacing w:before="87"/>
              <w:ind w:left="368" w:right="360"/>
              <w:jc w:val="center"/>
              <w:rPr>
                <w:sz w:val="21"/>
              </w:rPr>
            </w:pPr>
            <w:r>
              <w:rPr>
                <w:sz w:val="21"/>
              </w:rPr>
              <w:t>相关图纸</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7"/>
              <w:ind w:left="129" w:right="113"/>
              <w:jc w:val="center"/>
              <w:rPr>
                <w:sz w:val="21"/>
              </w:rPr>
            </w:pPr>
            <w:r>
              <w:rPr>
                <w:sz w:val="21"/>
              </w:rPr>
              <w:t>5.1</w:t>
            </w:r>
          </w:p>
        </w:tc>
        <w:tc>
          <w:tcPr>
            <w:tcW w:w="5188" w:type="dxa"/>
          </w:tcPr>
          <w:p>
            <w:pPr>
              <w:pStyle w:val="TableParagraph"/>
              <w:spacing w:before="87"/>
              <w:ind w:left="368" w:right="360"/>
              <w:jc w:val="center"/>
              <w:rPr>
                <w:sz w:val="21"/>
              </w:rPr>
            </w:pPr>
            <w:r>
              <w:rPr>
                <w:sz w:val="21"/>
              </w:rPr>
              <w:t>单位总平面布局图</w:t>
            </w:r>
          </w:p>
        </w:tc>
        <w:tc>
          <w:tcPr>
            <w:tcW w:w="708" w:type="dxa"/>
          </w:tcPr>
          <w:p>
            <w:pPr>
              <w:pStyle w:val="TableParagraph"/>
              <w:rPr>
                <w:rFonts w:ascii="Times New Roman"/>
                <w:sz w:val="20"/>
              </w:rPr>
            </w:pPr>
          </w:p>
        </w:tc>
      </w:tr>
      <w:tr>
        <w:trPr>
          <w:trHeight w:val="446" w:hRule="atLeast"/>
        </w:trPr>
        <w:tc>
          <w:tcPr>
            <w:tcW w:w="713" w:type="dxa"/>
          </w:tcPr>
          <w:p>
            <w:pPr>
              <w:pStyle w:val="TableParagraph"/>
              <w:spacing w:before="88"/>
              <w:ind w:left="129" w:right="113"/>
              <w:jc w:val="center"/>
              <w:rPr>
                <w:sz w:val="21"/>
              </w:rPr>
            </w:pPr>
            <w:r>
              <w:rPr>
                <w:sz w:val="21"/>
              </w:rPr>
              <w:t>5.2</w:t>
            </w:r>
          </w:p>
        </w:tc>
        <w:tc>
          <w:tcPr>
            <w:tcW w:w="5188" w:type="dxa"/>
          </w:tcPr>
          <w:p>
            <w:pPr>
              <w:pStyle w:val="TableParagraph"/>
              <w:spacing w:before="88"/>
              <w:ind w:left="368" w:right="360"/>
              <w:jc w:val="center"/>
              <w:rPr>
                <w:sz w:val="21"/>
              </w:rPr>
            </w:pPr>
            <w:r>
              <w:rPr>
                <w:sz w:val="21"/>
              </w:rPr>
              <w:t>平面布置图</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29" w:right="113"/>
              <w:jc w:val="center"/>
              <w:rPr>
                <w:sz w:val="21"/>
              </w:rPr>
            </w:pPr>
            <w:r>
              <w:rPr>
                <w:sz w:val="21"/>
              </w:rPr>
              <w:t>5.3</w:t>
            </w:r>
          </w:p>
        </w:tc>
        <w:tc>
          <w:tcPr>
            <w:tcW w:w="5188" w:type="dxa"/>
          </w:tcPr>
          <w:p>
            <w:pPr>
              <w:pStyle w:val="TableParagraph"/>
              <w:spacing w:before="87"/>
              <w:ind w:left="368" w:right="357"/>
              <w:jc w:val="center"/>
              <w:rPr>
                <w:sz w:val="21"/>
              </w:rPr>
            </w:pPr>
            <w:r>
              <w:rPr>
                <w:sz w:val="21"/>
              </w:rPr>
              <w:t>消防设施系统图</w:t>
            </w:r>
          </w:p>
        </w:tc>
        <w:tc>
          <w:tcPr>
            <w:tcW w:w="708" w:type="dxa"/>
          </w:tcPr>
          <w:p>
            <w:pPr>
              <w:pStyle w:val="TableParagraph"/>
              <w:rPr>
                <w:rFonts w:ascii="Times New Roman"/>
                <w:sz w:val="20"/>
              </w:rPr>
            </w:pPr>
          </w:p>
        </w:tc>
      </w:tr>
      <w:tr>
        <w:trPr>
          <w:trHeight w:val="445" w:hRule="atLeast"/>
        </w:trPr>
        <w:tc>
          <w:tcPr>
            <w:tcW w:w="713" w:type="dxa"/>
          </w:tcPr>
          <w:p>
            <w:pPr>
              <w:pStyle w:val="TableParagraph"/>
              <w:spacing w:before="87"/>
              <w:ind w:left="11"/>
              <w:jc w:val="center"/>
              <w:rPr>
                <w:sz w:val="21"/>
              </w:rPr>
            </w:pPr>
            <w:r>
              <w:rPr>
                <w:w w:val="100"/>
                <w:sz w:val="21"/>
              </w:rPr>
              <w:t>6</w:t>
            </w:r>
          </w:p>
        </w:tc>
        <w:tc>
          <w:tcPr>
            <w:tcW w:w="5188" w:type="dxa"/>
          </w:tcPr>
          <w:p>
            <w:pPr>
              <w:pStyle w:val="TableParagraph"/>
              <w:spacing w:before="87"/>
              <w:ind w:left="368" w:right="360"/>
              <w:jc w:val="center"/>
              <w:rPr>
                <w:sz w:val="21"/>
              </w:rPr>
            </w:pPr>
            <w:r>
              <w:rPr>
                <w:sz w:val="21"/>
              </w:rPr>
              <w:t>其他资料</w:t>
            </w:r>
          </w:p>
        </w:tc>
        <w:tc>
          <w:tcPr>
            <w:tcW w:w="708" w:type="dxa"/>
          </w:tcPr>
          <w:p>
            <w:pPr>
              <w:pStyle w:val="TableParagraph"/>
              <w:rPr>
                <w:rFonts w:ascii="Times New Roman"/>
                <w:sz w:val="20"/>
              </w:rPr>
            </w:pPr>
          </w:p>
        </w:tc>
      </w:tr>
    </w:tbl>
    <w:p>
      <w:pPr>
        <w:spacing w:after="0"/>
        <w:rPr>
          <w:rFonts w:ascii="Times New Roman"/>
          <w:sz w:val="20"/>
        </w:rPr>
        <w:sectPr>
          <w:pgSz w:w="8400" w:h="11910"/>
          <w:pgMar w:header="0" w:footer="834" w:top="1100" w:bottom="1020" w:left="700" w:right="560"/>
        </w:sectPr>
      </w:pPr>
    </w:p>
    <w:p>
      <w:pPr>
        <w:pStyle w:val="BodyText"/>
        <w:ind w:left="0"/>
        <w:rPr>
          <w:rFonts w:ascii="黑体"/>
          <w:sz w:val="21"/>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710"/>
        <w:gridCol w:w="567"/>
        <w:gridCol w:w="430"/>
        <w:gridCol w:w="120"/>
        <w:gridCol w:w="240"/>
        <w:gridCol w:w="754"/>
        <w:gridCol w:w="1008"/>
        <w:gridCol w:w="877"/>
        <w:gridCol w:w="725"/>
        <w:gridCol w:w="701"/>
      </w:tblGrid>
      <w:tr>
        <w:trPr>
          <w:trHeight w:val="275" w:hRule="atLeast"/>
        </w:trPr>
        <w:tc>
          <w:tcPr>
            <w:tcW w:w="1101" w:type="dxa"/>
            <w:gridSpan w:val="2"/>
          </w:tcPr>
          <w:p>
            <w:pPr>
              <w:pStyle w:val="TableParagraph"/>
              <w:spacing w:line="225" w:lineRule="exact" w:before="31"/>
              <w:ind w:left="189"/>
              <w:rPr>
                <w:sz w:val="18"/>
              </w:rPr>
            </w:pPr>
            <w:r>
              <w:rPr>
                <w:sz w:val="18"/>
              </w:rPr>
              <w:t>单位名称</w:t>
            </w:r>
          </w:p>
        </w:tc>
        <w:tc>
          <w:tcPr>
            <w:tcW w:w="3119" w:type="dxa"/>
            <w:gridSpan w:val="6"/>
          </w:tcPr>
          <w:p>
            <w:pPr>
              <w:pStyle w:val="TableParagraph"/>
              <w:rPr>
                <w:rFonts w:ascii="Times New Roman"/>
                <w:sz w:val="18"/>
              </w:rPr>
            </w:pPr>
          </w:p>
        </w:tc>
        <w:tc>
          <w:tcPr>
            <w:tcW w:w="1602" w:type="dxa"/>
            <w:gridSpan w:val="2"/>
          </w:tcPr>
          <w:p>
            <w:pPr>
              <w:pStyle w:val="TableParagraph"/>
              <w:spacing w:line="225" w:lineRule="exact" w:before="31"/>
              <w:ind w:left="439"/>
              <w:rPr>
                <w:sz w:val="18"/>
              </w:rPr>
            </w:pPr>
            <w:r>
              <w:rPr>
                <w:sz w:val="18"/>
              </w:rPr>
              <w:t>单位电话</w:t>
            </w:r>
          </w:p>
        </w:tc>
        <w:tc>
          <w:tcPr>
            <w:tcW w:w="701" w:type="dxa"/>
          </w:tcPr>
          <w:p>
            <w:pPr>
              <w:pStyle w:val="TableParagraph"/>
              <w:rPr>
                <w:rFonts w:ascii="Times New Roman"/>
                <w:sz w:val="18"/>
              </w:rPr>
            </w:pPr>
          </w:p>
        </w:tc>
      </w:tr>
      <w:tr>
        <w:trPr>
          <w:trHeight w:val="407" w:hRule="atLeast"/>
        </w:trPr>
        <w:tc>
          <w:tcPr>
            <w:tcW w:w="1101" w:type="dxa"/>
            <w:gridSpan w:val="2"/>
          </w:tcPr>
          <w:p>
            <w:pPr>
              <w:pStyle w:val="TableParagraph"/>
              <w:tabs>
                <w:tab w:pos="731" w:val="left" w:leader="none"/>
              </w:tabs>
              <w:spacing w:before="95"/>
              <w:ind w:left="189"/>
              <w:rPr>
                <w:sz w:val="18"/>
              </w:rPr>
            </w:pPr>
            <w:r>
              <w:rPr>
                <w:sz w:val="18"/>
              </w:rPr>
              <w:t>地</w:t>
              <w:tab/>
              <w:t>址</w:t>
            </w:r>
          </w:p>
        </w:tc>
        <w:tc>
          <w:tcPr>
            <w:tcW w:w="3119" w:type="dxa"/>
            <w:gridSpan w:val="6"/>
          </w:tcPr>
          <w:p>
            <w:pPr>
              <w:pStyle w:val="TableParagraph"/>
              <w:rPr>
                <w:rFonts w:ascii="Times New Roman"/>
                <w:sz w:val="18"/>
              </w:rPr>
            </w:pPr>
          </w:p>
        </w:tc>
        <w:tc>
          <w:tcPr>
            <w:tcW w:w="1602" w:type="dxa"/>
            <w:gridSpan w:val="2"/>
          </w:tcPr>
          <w:p>
            <w:pPr>
              <w:pStyle w:val="TableParagraph"/>
              <w:tabs>
                <w:tab w:pos="938" w:val="left" w:leader="none"/>
              </w:tabs>
              <w:spacing w:before="95"/>
              <w:ind w:left="485"/>
              <w:rPr>
                <w:sz w:val="18"/>
              </w:rPr>
            </w:pPr>
            <w:r>
              <w:rPr>
                <w:sz w:val="18"/>
              </w:rPr>
              <w:t>邮</w:t>
              <w:tab/>
              <w:t>编</w:t>
            </w:r>
          </w:p>
        </w:tc>
        <w:tc>
          <w:tcPr>
            <w:tcW w:w="701" w:type="dxa"/>
          </w:tcPr>
          <w:p>
            <w:pPr>
              <w:pStyle w:val="TableParagraph"/>
              <w:rPr>
                <w:rFonts w:ascii="Times New Roman"/>
                <w:sz w:val="18"/>
              </w:rPr>
            </w:pPr>
          </w:p>
        </w:tc>
      </w:tr>
      <w:tr>
        <w:trPr>
          <w:trHeight w:val="479" w:hRule="atLeast"/>
        </w:trPr>
        <w:tc>
          <w:tcPr>
            <w:tcW w:w="1101" w:type="dxa"/>
            <w:gridSpan w:val="2"/>
          </w:tcPr>
          <w:p>
            <w:pPr>
              <w:pStyle w:val="TableParagraph"/>
              <w:spacing w:before="132"/>
              <w:ind w:left="100"/>
              <w:rPr>
                <w:sz w:val="18"/>
              </w:rPr>
            </w:pPr>
            <w:r>
              <w:rPr>
                <w:sz w:val="18"/>
              </w:rPr>
              <w:t>法定代表人</w:t>
            </w:r>
          </w:p>
        </w:tc>
        <w:tc>
          <w:tcPr>
            <w:tcW w:w="567" w:type="dxa"/>
          </w:tcPr>
          <w:p>
            <w:pPr>
              <w:pStyle w:val="TableParagraph"/>
              <w:rPr>
                <w:rFonts w:ascii="Times New Roman"/>
                <w:sz w:val="18"/>
              </w:rPr>
            </w:pPr>
          </w:p>
        </w:tc>
        <w:tc>
          <w:tcPr>
            <w:tcW w:w="790" w:type="dxa"/>
            <w:gridSpan w:val="3"/>
          </w:tcPr>
          <w:p>
            <w:pPr>
              <w:pStyle w:val="TableParagraph"/>
              <w:spacing w:before="132"/>
              <w:ind w:left="33"/>
              <w:rPr>
                <w:sz w:val="18"/>
              </w:rPr>
            </w:pPr>
            <w:r>
              <w:rPr>
                <w:sz w:val="18"/>
              </w:rPr>
              <w:t>联系电话</w:t>
            </w:r>
          </w:p>
        </w:tc>
        <w:tc>
          <w:tcPr>
            <w:tcW w:w="754" w:type="dxa"/>
          </w:tcPr>
          <w:p>
            <w:pPr>
              <w:pStyle w:val="TableParagraph"/>
              <w:rPr>
                <w:rFonts w:ascii="Times New Roman"/>
                <w:sz w:val="18"/>
              </w:rPr>
            </w:pPr>
          </w:p>
        </w:tc>
        <w:tc>
          <w:tcPr>
            <w:tcW w:w="1008" w:type="dxa"/>
          </w:tcPr>
          <w:p>
            <w:pPr>
              <w:pStyle w:val="TableParagraph"/>
              <w:spacing w:line="240" w:lineRule="atLeast" w:before="2"/>
              <w:ind w:left="235" w:right="129" w:hanging="89"/>
              <w:rPr>
                <w:sz w:val="18"/>
              </w:rPr>
            </w:pPr>
            <w:r>
              <w:rPr>
                <w:sz w:val="18"/>
              </w:rPr>
              <w:t>消防安全责任人</w:t>
            </w:r>
          </w:p>
        </w:tc>
        <w:tc>
          <w:tcPr>
            <w:tcW w:w="877" w:type="dxa"/>
          </w:tcPr>
          <w:p>
            <w:pPr>
              <w:pStyle w:val="TableParagraph"/>
              <w:rPr>
                <w:rFonts w:ascii="Times New Roman"/>
                <w:sz w:val="18"/>
              </w:rPr>
            </w:pPr>
          </w:p>
        </w:tc>
        <w:tc>
          <w:tcPr>
            <w:tcW w:w="725" w:type="dxa"/>
          </w:tcPr>
          <w:p>
            <w:pPr>
              <w:pStyle w:val="TableParagraph"/>
              <w:spacing w:line="240" w:lineRule="atLeast" w:before="2"/>
              <w:ind w:left="181" w:right="171"/>
              <w:rPr>
                <w:sz w:val="18"/>
              </w:rPr>
            </w:pPr>
            <w:r>
              <w:rPr>
                <w:sz w:val="18"/>
              </w:rPr>
              <w:t>联系电话</w:t>
            </w:r>
          </w:p>
        </w:tc>
        <w:tc>
          <w:tcPr>
            <w:tcW w:w="701" w:type="dxa"/>
          </w:tcPr>
          <w:p>
            <w:pPr>
              <w:pStyle w:val="TableParagraph"/>
              <w:rPr>
                <w:rFonts w:ascii="Times New Roman"/>
                <w:sz w:val="18"/>
              </w:rPr>
            </w:pPr>
          </w:p>
        </w:tc>
      </w:tr>
      <w:tr>
        <w:trPr>
          <w:trHeight w:val="561" w:hRule="atLeast"/>
        </w:trPr>
        <w:tc>
          <w:tcPr>
            <w:tcW w:w="1101" w:type="dxa"/>
            <w:gridSpan w:val="2"/>
          </w:tcPr>
          <w:p>
            <w:pPr>
              <w:pStyle w:val="TableParagraph"/>
              <w:spacing w:line="249" w:lineRule="auto" w:before="52"/>
              <w:ind w:left="280" w:right="179" w:hanging="92"/>
              <w:rPr>
                <w:sz w:val="18"/>
              </w:rPr>
            </w:pPr>
            <w:r>
              <w:rPr>
                <w:sz w:val="18"/>
              </w:rPr>
              <w:t>消防安全管理人</w:t>
            </w:r>
          </w:p>
        </w:tc>
        <w:tc>
          <w:tcPr>
            <w:tcW w:w="567" w:type="dxa"/>
          </w:tcPr>
          <w:p>
            <w:pPr>
              <w:pStyle w:val="TableParagraph"/>
              <w:rPr>
                <w:rFonts w:ascii="Times New Roman"/>
                <w:sz w:val="18"/>
              </w:rPr>
            </w:pPr>
          </w:p>
        </w:tc>
        <w:tc>
          <w:tcPr>
            <w:tcW w:w="790" w:type="dxa"/>
            <w:gridSpan w:val="3"/>
          </w:tcPr>
          <w:p>
            <w:pPr>
              <w:pStyle w:val="TableParagraph"/>
              <w:spacing w:before="6"/>
              <w:rPr>
                <w:rFonts w:ascii="黑体"/>
                <w:sz w:val="13"/>
              </w:rPr>
            </w:pPr>
          </w:p>
          <w:p>
            <w:pPr>
              <w:pStyle w:val="TableParagraph"/>
              <w:ind w:left="33"/>
              <w:rPr>
                <w:sz w:val="18"/>
              </w:rPr>
            </w:pPr>
            <w:r>
              <w:rPr>
                <w:sz w:val="18"/>
              </w:rPr>
              <w:t>联系电话</w:t>
            </w:r>
          </w:p>
        </w:tc>
        <w:tc>
          <w:tcPr>
            <w:tcW w:w="754" w:type="dxa"/>
          </w:tcPr>
          <w:p>
            <w:pPr>
              <w:pStyle w:val="TableParagraph"/>
              <w:rPr>
                <w:rFonts w:ascii="Times New Roman"/>
                <w:sz w:val="18"/>
              </w:rPr>
            </w:pPr>
          </w:p>
        </w:tc>
        <w:tc>
          <w:tcPr>
            <w:tcW w:w="1008" w:type="dxa"/>
          </w:tcPr>
          <w:p>
            <w:pPr>
              <w:pStyle w:val="TableParagraph"/>
              <w:spacing w:line="249" w:lineRule="auto" w:before="52"/>
              <w:ind w:left="235" w:right="40" w:hanging="180"/>
              <w:rPr>
                <w:sz w:val="18"/>
              </w:rPr>
            </w:pPr>
            <w:r>
              <w:rPr>
                <w:sz w:val="18"/>
              </w:rPr>
              <w:t>专兼职消防管理人</w:t>
            </w:r>
          </w:p>
        </w:tc>
        <w:tc>
          <w:tcPr>
            <w:tcW w:w="877" w:type="dxa"/>
          </w:tcPr>
          <w:p>
            <w:pPr>
              <w:pStyle w:val="TableParagraph"/>
              <w:rPr>
                <w:rFonts w:ascii="Times New Roman"/>
                <w:sz w:val="18"/>
              </w:rPr>
            </w:pPr>
          </w:p>
        </w:tc>
        <w:tc>
          <w:tcPr>
            <w:tcW w:w="725" w:type="dxa"/>
          </w:tcPr>
          <w:p>
            <w:pPr>
              <w:pStyle w:val="TableParagraph"/>
              <w:spacing w:line="249" w:lineRule="auto" w:before="52"/>
              <w:ind w:left="181" w:right="171"/>
              <w:rPr>
                <w:sz w:val="18"/>
              </w:rPr>
            </w:pPr>
            <w:r>
              <w:rPr>
                <w:sz w:val="18"/>
              </w:rPr>
              <w:t>联系电话</w:t>
            </w:r>
          </w:p>
        </w:tc>
        <w:tc>
          <w:tcPr>
            <w:tcW w:w="701" w:type="dxa"/>
          </w:tcPr>
          <w:p>
            <w:pPr>
              <w:pStyle w:val="TableParagraph"/>
              <w:rPr>
                <w:rFonts w:ascii="Times New Roman"/>
                <w:sz w:val="18"/>
              </w:rPr>
            </w:pPr>
          </w:p>
        </w:tc>
      </w:tr>
      <w:tr>
        <w:trPr>
          <w:trHeight w:val="606" w:hRule="atLeast"/>
        </w:trPr>
        <w:tc>
          <w:tcPr>
            <w:tcW w:w="1101" w:type="dxa"/>
            <w:gridSpan w:val="2"/>
          </w:tcPr>
          <w:p>
            <w:pPr>
              <w:pStyle w:val="TableParagraph"/>
              <w:spacing w:before="2"/>
              <w:rPr>
                <w:rFonts w:ascii="黑体"/>
                <w:sz w:val="15"/>
              </w:rPr>
            </w:pPr>
          </w:p>
          <w:p>
            <w:pPr>
              <w:pStyle w:val="TableParagraph"/>
              <w:ind w:left="189"/>
              <w:rPr>
                <w:sz w:val="18"/>
              </w:rPr>
            </w:pPr>
            <w:r>
              <w:rPr>
                <w:sz w:val="18"/>
              </w:rPr>
              <w:t>成立时间</w:t>
            </w:r>
          </w:p>
        </w:tc>
        <w:tc>
          <w:tcPr>
            <w:tcW w:w="567" w:type="dxa"/>
          </w:tcPr>
          <w:p>
            <w:pPr>
              <w:pStyle w:val="TableParagraph"/>
              <w:rPr>
                <w:rFonts w:ascii="Times New Roman"/>
                <w:sz w:val="18"/>
              </w:rPr>
            </w:pPr>
          </w:p>
        </w:tc>
        <w:tc>
          <w:tcPr>
            <w:tcW w:w="790" w:type="dxa"/>
            <w:gridSpan w:val="3"/>
          </w:tcPr>
          <w:p>
            <w:pPr>
              <w:pStyle w:val="TableParagraph"/>
              <w:spacing w:line="249" w:lineRule="auto" w:before="74"/>
              <w:ind w:left="125" w:right="24" w:hanging="92"/>
              <w:rPr>
                <w:sz w:val="18"/>
              </w:rPr>
            </w:pPr>
            <w:r>
              <w:rPr>
                <w:sz w:val="18"/>
              </w:rPr>
              <w:t>固定资产(万元)</w:t>
            </w:r>
          </w:p>
        </w:tc>
        <w:tc>
          <w:tcPr>
            <w:tcW w:w="754" w:type="dxa"/>
          </w:tcPr>
          <w:p>
            <w:pPr>
              <w:pStyle w:val="TableParagraph"/>
              <w:rPr>
                <w:rFonts w:ascii="Times New Roman"/>
                <w:sz w:val="18"/>
              </w:rPr>
            </w:pPr>
          </w:p>
        </w:tc>
        <w:tc>
          <w:tcPr>
            <w:tcW w:w="1008" w:type="dxa"/>
          </w:tcPr>
          <w:p>
            <w:pPr>
              <w:pStyle w:val="TableParagraph"/>
              <w:spacing w:line="249" w:lineRule="auto" w:before="74"/>
              <w:ind w:left="326" w:right="129" w:hanging="180"/>
              <w:rPr>
                <w:sz w:val="18"/>
              </w:rPr>
            </w:pPr>
            <w:r>
              <w:rPr>
                <w:sz w:val="18"/>
              </w:rPr>
              <w:t>职工人数(人)</w:t>
            </w:r>
          </w:p>
        </w:tc>
        <w:tc>
          <w:tcPr>
            <w:tcW w:w="877" w:type="dxa"/>
          </w:tcPr>
          <w:p>
            <w:pPr>
              <w:pStyle w:val="TableParagraph"/>
              <w:rPr>
                <w:rFonts w:ascii="Times New Roman"/>
                <w:sz w:val="18"/>
              </w:rPr>
            </w:pPr>
          </w:p>
        </w:tc>
        <w:tc>
          <w:tcPr>
            <w:tcW w:w="725" w:type="dxa"/>
          </w:tcPr>
          <w:p>
            <w:pPr>
              <w:pStyle w:val="TableParagraph"/>
              <w:spacing w:line="249" w:lineRule="auto" w:before="74"/>
              <w:ind w:left="181" w:right="-15" w:hanging="180"/>
              <w:rPr>
                <w:sz w:val="18"/>
              </w:rPr>
            </w:pPr>
            <w:r>
              <w:rPr>
                <w:spacing w:val="-3"/>
                <w:sz w:val="18"/>
              </w:rPr>
              <w:t>建筑面积</w:t>
            </w:r>
            <w:r>
              <w:rPr>
                <w:sz w:val="18"/>
              </w:rPr>
              <w:t>(㎡)</w:t>
            </w:r>
          </w:p>
        </w:tc>
        <w:tc>
          <w:tcPr>
            <w:tcW w:w="701" w:type="dxa"/>
          </w:tcPr>
          <w:p>
            <w:pPr>
              <w:pStyle w:val="TableParagraph"/>
              <w:rPr>
                <w:rFonts w:ascii="Times New Roman"/>
                <w:sz w:val="18"/>
              </w:rPr>
            </w:pPr>
          </w:p>
        </w:tc>
      </w:tr>
      <w:tr>
        <w:trPr>
          <w:trHeight w:val="657" w:hRule="atLeast"/>
        </w:trPr>
        <w:tc>
          <w:tcPr>
            <w:tcW w:w="1101" w:type="dxa"/>
            <w:gridSpan w:val="2"/>
          </w:tcPr>
          <w:p>
            <w:pPr>
              <w:pStyle w:val="TableParagraph"/>
              <w:spacing w:line="249" w:lineRule="auto" w:before="12"/>
              <w:ind w:left="189" w:right="179"/>
              <w:rPr>
                <w:sz w:val="18"/>
              </w:rPr>
            </w:pPr>
            <w:r>
              <w:rPr>
                <w:sz w:val="18"/>
              </w:rPr>
              <w:t>有无自动消防设施</w:t>
            </w:r>
          </w:p>
        </w:tc>
        <w:tc>
          <w:tcPr>
            <w:tcW w:w="1117" w:type="dxa"/>
            <w:gridSpan w:val="3"/>
          </w:tcPr>
          <w:p>
            <w:pPr>
              <w:pStyle w:val="TableParagraph"/>
              <w:spacing w:before="3"/>
              <w:rPr>
                <w:rFonts w:ascii="黑体"/>
                <w:sz w:val="17"/>
              </w:rPr>
            </w:pPr>
          </w:p>
          <w:p>
            <w:pPr>
              <w:pStyle w:val="TableParagraph"/>
              <w:ind w:left="108"/>
              <w:rPr>
                <w:sz w:val="18"/>
              </w:rPr>
            </w:pPr>
            <w:r>
              <w:rPr>
                <w:sz w:val="18"/>
              </w:rPr>
              <w:t>□有 □无</w:t>
            </w:r>
          </w:p>
        </w:tc>
        <w:tc>
          <w:tcPr>
            <w:tcW w:w="994" w:type="dxa"/>
            <w:gridSpan w:val="2"/>
          </w:tcPr>
          <w:p>
            <w:pPr>
              <w:pStyle w:val="TableParagraph"/>
              <w:spacing w:line="249" w:lineRule="auto" w:before="101"/>
              <w:ind w:left="407" w:right="34" w:hanging="360"/>
              <w:rPr>
                <w:sz w:val="18"/>
              </w:rPr>
            </w:pPr>
            <w:r>
              <w:rPr>
                <w:sz w:val="18"/>
              </w:rPr>
              <w:t>组织机构代码</w:t>
            </w:r>
          </w:p>
        </w:tc>
        <w:tc>
          <w:tcPr>
            <w:tcW w:w="1885" w:type="dxa"/>
            <w:gridSpan w:val="2"/>
          </w:tcPr>
          <w:p>
            <w:pPr>
              <w:pStyle w:val="TableParagraph"/>
              <w:rPr>
                <w:rFonts w:ascii="Times New Roman"/>
                <w:sz w:val="18"/>
              </w:rPr>
            </w:pPr>
          </w:p>
        </w:tc>
        <w:tc>
          <w:tcPr>
            <w:tcW w:w="725" w:type="dxa"/>
          </w:tcPr>
          <w:p>
            <w:pPr>
              <w:pStyle w:val="TableParagraph"/>
              <w:spacing w:line="249" w:lineRule="auto" w:before="101"/>
              <w:ind w:left="181" w:right="-15" w:hanging="180"/>
              <w:rPr>
                <w:sz w:val="18"/>
              </w:rPr>
            </w:pPr>
            <w:r>
              <w:rPr>
                <w:spacing w:val="-3"/>
                <w:sz w:val="18"/>
              </w:rPr>
              <w:t>占地面积</w:t>
            </w:r>
            <w:r>
              <w:rPr>
                <w:sz w:val="18"/>
              </w:rPr>
              <w:t>(㎡)</w:t>
            </w:r>
          </w:p>
        </w:tc>
        <w:tc>
          <w:tcPr>
            <w:tcW w:w="701" w:type="dxa"/>
          </w:tcPr>
          <w:p>
            <w:pPr>
              <w:pStyle w:val="TableParagraph"/>
              <w:rPr>
                <w:rFonts w:ascii="Times New Roman"/>
                <w:sz w:val="18"/>
              </w:rPr>
            </w:pPr>
          </w:p>
        </w:tc>
      </w:tr>
      <w:tr>
        <w:trPr>
          <w:trHeight w:val="700" w:hRule="atLeast"/>
        </w:trPr>
        <w:tc>
          <w:tcPr>
            <w:tcW w:w="1101" w:type="dxa"/>
            <w:gridSpan w:val="2"/>
          </w:tcPr>
          <w:p>
            <w:pPr>
              <w:pStyle w:val="TableParagraph"/>
              <w:spacing w:before="11"/>
              <w:rPr>
                <w:rFonts w:ascii="黑体"/>
                <w:sz w:val="18"/>
              </w:rPr>
            </w:pPr>
          </w:p>
          <w:p>
            <w:pPr>
              <w:pStyle w:val="TableParagraph"/>
              <w:ind w:left="189"/>
              <w:rPr>
                <w:sz w:val="18"/>
              </w:rPr>
            </w:pPr>
            <w:r>
              <w:rPr>
                <w:sz w:val="18"/>
              </w:rPr>
              <w:t>单位性质</w:t>
            </w:r>
          </w:p>
        </w:tc>
        <w:tc>
          <w:tcPr>
            <w:tcW w:w="5422" w:type="dxa"/>
            <w:gridSpan w:val="9"/>
          </w:tcPr>
          <w:p>
            <w:pPr>
              <w:pStyle w:val="TableParagraph"/>
              <w:tabs>
                <w:tab w:pos="1611" w:val="left" w:leader="none"/>
              </w:tabs>
              <w:spacing w:before="122"/>
              <w:ind w:left="-12"/>
              <w:rPr>
                <w:sz w:val="18"/>
              </w:rPr>
            </w:pPr>
            <w:r>
              <w:rPr>
                <w:sz w:val="18"/>
              </w:rPr>
              <w:t>□机关 </w:t>
            </w:r>
            <w:r>
              <w:rPr>
                <w:spacing w:val="2"/>
                <w:sz w:val="18"/>
              </w:rPr>
              <w:t> </w:t>
            </w:r>
            <w:r>
              <w:rPr>
                <w:sz w:val="18"/>
              </w:rPr>
              <w:t>□团体</w:t>
              <w:tab/>
              <w:t>□事业</w:t>
            </w:r>
            <w:r>
              <w:rPr>
                <w:spacing w:val="88"/>
                <w:sz w:val="18"/>
              </w:rPr>
              <w:t> </w:t>
            </w:r>
            <w:r>
              <w:rPr>
                <w:sz w:val="18"/>
              </w:rPr>
              <w:t>□国有企业</w:t>
            </w:r>
            <w:r>
              <w:rPr>
                <w:spacing w:val="3"/>
                <w:sz w:val="18"/>
              </w:rPr>
              <w:t> </w:t>
            </w:r>
            <w:r>
              <w:rPr>
                <w:sz w:val="18"/>
              </w:rPr>
              <w:t>□集体企业 </w:t>
            </w:r>
            <w:r>
              <w:rPr>
                <w:spacing w:val="-3"/>
                <w:sz w:val="18"/>
              </w:rPr>
              <w:t>□</w:t>
            </w:r>
            <w:r>
              <w:rPr>
                <w:sz w:val="18"/>
              </w:rPr>
              <w:t>私营企业</w:t>
            </w:r>
          </w:p>
          <w:p>
            <w:pPr>
              <w:pStyle w:val="TableParagraph"/>
              <w:tabs>
                <w:tab w:pos="3863" w:val="left" w:leader="none"/>
              </w:tabs>
              <w:spacing w:before="9"/>
              <w:ind w:left="-12"/>
              <w:rPr>
                <w:sz w:val="18"/>
              </w:rPr>
            </w:pPr>
            <w:r>
              <w:rPr>
                <w:sz w:val="18"/>
              </w:rPr>
              <w:t>□联营企业 </w:t>
            </w:r>
            <w:r>
              <w:rPr>
                <w:spacing w:val="3"/>
                <w:sz w:val="18"/>
              </w:rPr>
              <w:t> </w:t>
            </w:r>
            <w:r>
              <w:rPr>
                <w:sz w:val="18"/>
              </w:rPr>
              <w:t>□股份制企业</w:t>
            </w:r>
            <w:r>
              <w:rPr>
                <w:spacing w:val="1"/>
                <w:sz w:val="18"/>
              </w:rPr>
              <w:t> </w:t>
            </w:r>
            <w:r>
              <w:rPr>
                <w:spacing w:val="-3"/>
                <w:sz w:val="18"/>
              </w:rPr>
              <w:t>□</w:t>
            </w:r>
            <w:r>
              <w:rPr>
                <w:sz w:val="18"/>
              </w:rPr>
              <w:t>外商投资企业</w:t>
              <w:tab/>
              <w:t>□港澳台</w:t>
            </w:r>
            <w:r>
              <w:rPr>
                <w:spacing w:val="-3"/>
                <w:sz w:val="18"/>
              </w:rPr>
              <w:t>投</w:t>
            </w:r>
            <w:r>
              <w:rPr>
                <w:sz w:val="18"/>
              </w:rPr>
              <w:t>资企业</w:t>
            </w:r>
          </w:p>
        </w:tc>
      </w:tr>
      <w:tr>
        <w:trPr>
          <w:trHeight w:val="242" w:hRule="atLeast"/>
        </w:trPr>
        <w:tc>
          <w:tcPr>
            <w:tcW w:w="391" w:type="dxa"/>
            <w:vMerge w:val="restart"/>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11"/>
              <w:rPr>
                <w:rFonts w:ascii="黑体"/>
                <w:sz w:val="22"/>
              </w:rPr>
            </w:pPr>
          </w:p>
          <w:p>
            <w:pPr>
              <w:pStyle w:val="TableParagraph"/>
              <w:spacing w:line="657" w:lineRule="auto"/>
              <w:ind w:left="106" w:right="92"/>
              <w:jc w:val="both"/>
              <w:rPr>
                <w:sz w:val="18"/>
              </w:rPr>
            </w:pPr>
            <w:r>
              <w:rPr>
                <w:sz w:val="18"/>
              </w:rPr>
              <w:t>申报单位类别</w:t>
            </w:r>
          </w:p>
        </w:tc>
        <w:tc>
          <w:tcPr>
            <w:tcW w:w="1707" w:type="dxa"/>
            <w:gridSpan w:val="3"/>
          </w:tcPr>
          <w:p>
            <w:pPr>
              <w:pStyle w:val="TableParagraph"/>
              <w:spacing w:line="210" w:lineRule="exact" w:before="11"/>
              <w:ind w:left="609" w:right="598"/>
              <w:jc w:val="center"/>
              <w:rPr>
                <w:sz w:val="18"/>
              </w:rPr>
            </w:pPr>
            <w:r>
              <w:rPr>
                <w:sz w:val="18"/>
              </w:rPr>
              <w:t>主 类</w:t>
            </w:r>
          </w:p>
        </w:tc>
        <w:tc>
          <w:tcPr>
            <w:tcW w:w="4425" w:type="dxa"/>
            <w:gridSpan w:val="7"/>
          </w:tcPr>
          <w:p>
            <w:pPr>
              <w:pStyle w:val="TableParagraph"/>
              <w:tabs>
                <w:tab w:pos="734" w:val="left" w:leader="none"/>
              </w:tabs>
              <w:spacing w:line="210" w:lineRule="exact" w:before="11"/>
              <w:ind w:left="11"/>
              <w:jc w:val="center"/>
              <w:rPr>
                <w:sz w:val="18"/>
              </w:rPr>
            </w:pPr>
            <w:r>
              <w:rPr>
                <w:sz w:val="18"/>
              </w:rPr>
              <w:t>分</w:t>
              <w:tab/>
              <w:t>类</w:t>
            </w:r>
          </w:p>
        </w:tc>
      </w:tr>
      <w:tr>
        <w:trPr>
          <w:trHeight w:val="479" w:hRule="atLeast"/>
        </w:trPr>
        <w:tc>
          <w:tcPr>
            <w:tcW w:w="391" w:type="dxa"/>
            <w:vMerge/>
            <w:tcBorders>
              <w:top w:val="nil"/>
            </w:tcBorders>
          </w:tcPr>
          <w:p>
            <w:pPr>
              <w:rPr>
                <w:sz w:val="2"/>
                <w:szCs w:val="2"/>
              </w:rPr>
            </w:pPr>
          </w:p>
        </w:tc>
        <w:tc>
          <w:tcPr>
            <w:tcW w:w="1707" w:type="dxa"/>
            <w:gridSpan w:val="3"/>
            <w:vMerge w:val="restart"/>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2"/>
              <w:rPr>
                <w:rFonts w:ascii="黑体"/>
                <w:sz w:val="20"/>
              </w:rPr>
            </w:pPr>
          </w:p>
          <w:p>
            <w:pPr>
              <w:pStyle w:val="TableParagraph"/>
              <w:spacing w:line="249" w:lineRule="auto"/>
              <w:ind w:left="38" w:right="33"/>
              <w:jc w:val="both"/>
              <w:rPr>
                <w:sz w:val="18"/>
              </w:rPr>
            </w:pPr>
            <w:r>
              <w:rPr>
                <w:sz w:val="18"/>
              </w:rPr>
              <w:t>□ 1、商场(市场)、宾馆(饭店)、体育场(馆)、会堂、公共娱乐场所等公众聚集场所</w:t>
            </w:r>
          </w:p>
        </w:tc>
        <w:tc>
          <w:tcPr>
            <w:tcW w:w="4425" w:type="dxa"/>
            <w:gridSpan w:val="7"/>
          </w:tcPr>
          <w:p>
            <w:pPr>
              <w:pStyle w:val="TableParagraph"/>
              <w:spacing w:line="240" w:lineRule="atLeast" w:before="2"/>
              <w:ind w:left="35" w:right="39"/>
              <w:rPr>
                <w:sz w:val="18"/>
              </w:rPr>
            </w:pPr>
            <w:r>
              <w:rPr>
                <w:sz w:val="18"/>
              </w:rPr>
              <w:t>□ 1. 1 建筑面积≥1000 ㎡且经营可燃商品的商场(商店、市场)</w:t>
            </w:r>
          </w:p>
        </w:tc>
      </w:tr>
      <w:tr>
        <w:trPr>
          <w:trHeight w:val="717"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before="9"/>
              <w:ind w:left="35"/>
              <w:rPr>
                <w:sz w:val="18"/>
              </w:rPr>
            </w:pPr>
            <w:r>
              <w:rPr>
                <w:sz w:val="18"/>
              </w:rPr>
              <w:t>□ 1. 2</w:t>
            </w:r>
            <w:r>
              <w:rPr>
                <w:spacing w:val="-8"/>
                <w:sz w:val="18"/>
              </w:rPr>
              <w:t> 客房数在 </w:t>
            </w:r>
            <w:r>
              <w:rPr>
                <w:sz w:val="18"/>
              </w:rPr>
              <w:t>50</w:t>
            </w:r>
            <w:r>
              <w:rPr>
                <w:spacing w:val="-12"/>
                <w:sz w:val="18"/>
              </w:rPr>
              <w:t> 间以上，或客房数在 </w:t>
            </w:r>
            <w:r>
              <w:rPr>
                <w:sz w:val="18"/>
              </w:rPr>
              <w:t>40</w:t>
            </w:r>
            <w:r>
              <w:rPr>
                <w:spacing w:val="-10"/>
                <w:sz w:val="18"/>
              </w:rPr>
              <w:t> 间以上但</w:t>
            </w:r>
          </w:p>
          <w:p>
            <w:pPr>
              <w:pStyle w:val="TableParagraph"/>
              <w:spacing w:line="240" w:lineRule="atLeast"/>
              <w:ind w:left="35" w:right="56"/>
              <w:rPr>
                <w:sz w:val="18"/>
              </w:rPr>
            </w:pPr>
            <w:r>
              <w:rPr>
                <w:spacing w:val="-6"/>
                <w:sz w:val="18"/>
              </w:rPr>
              <w:t>设有建筑面积在 </w:t>
            </w:r>
            <w:r>
              <w:rPr>
                <w:sz w:val="18"/>
              </w:rPr>
              <w:t>150</w:t>
            </w:r>
            <w:r>
              <w:rPr>
                <w:spacing w:val="-9"/>
                <w:sz w:val="18"/>
              </w:rPr>
              <w:t> 平方米以上的公共娱乐场所的宾馆</w:t>
            </w:r>
            <w:r>
              <w:rPr>
                <w:sz w:val="18"/>
              </w:rPr>
              <w:t>(旅馆、饭店)</w:t>
            </w:r>
          </w:p>
        </w:tc>
      </w:tr>
      <w:tr>
        <w:trPr>
          <w:trHeight w:val="406"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before="93"/>
              <w:ind w:left="35"/>
              <w:rPr>
                <w:sz w:val="18"/>
              </w:rPr>
            </w:pPr>
            <w:r>
              <w:rPr>
                <w:sz w:val="18"/>
              </w:rPr>
              <w:t>□ 1. 3 公共的体育场(馆)、会堂</w:t>
            </w:r>
          </w:p>
        </w:tc>
      </w:tr>
      <w:tr>
        <w:trPr>
          <w:trHeight w:val="1439"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line="240" w:lineRule="atLeast" w:before="2"/>
              <w:ind w:left="35" w:right="-29"/>
              <w:rPr>
                <w:sz w:val="18"/>
              </w:rPr>
            </w:pPr>
            <w:r>
              <w:rPr>
                <w:sz w:val="18"/>
              </w:rPr>
              <w:t>□ 1</w:t>
            </w:r>
            <w:r>
              <w:rPr>
                <w:spacing w:val="-23"/>
                <w:sz w:val="18"/>
              </w:rPr>
              <w:t>. </w:t>
            </w:r>
            <w:r>
              <w:rPr>
                <w:sz w:val="18"/>
              </w:rPr>
              <w:t>4</w:t>
            </w:r>
            <w:r>
              <w:rPr>
                <w:spacing w:val="-8"/>
                <w:sz w:val="18"/>
              </w:rPr>
              <w:t> 场所建筑面积≥</w:t>
            </w:r>
            <w:r>
              <w:rPr>
                <w:sz w:val="18"/>
              </w:rPr>
              <w:t>200</w:t>
            </w:r>
            <w:r>
              <w:rPr>
                <w:spacing w:val="-12"/>
                <w:sz w:val="18"/>
              </w:rPr>
              <w:t> ㎡的下列公共娱乐场所：(</w:t>
            </w:r>
            <w:r>
              <w:rPr>
                <w:spacing w:val="-11"/>
                <w:sz w:val="18"/>
              </w:rPr>
              <w:t>1) </w:t>
            </w:r>
            <w:r>
              <w:rPr>
                <w:spacing w:val="-7"/>
                <w:sz w:val="18"/>
              </w:rPr>
              <w:t>影剧院、录像厅、礼堂等演出放映场所；(</w:t>
            </w:r>
            <w:r>
              <w:rPr>
                <w:sz w:val="18"/>
              </w:rPr>
              <w:t>2</w:t>
            </w:r>
            <w:r>
              <w:rPr>
                <w:spacing w:val="-4"/>
                <w:sz w:val="18"/>
              </w:rPr>
              <w:t>)舞厅、卡拉OK</w:t>
            </w:r>
            <w:r>
              <w:rPr>
                <w:spacing w:val="-7"/>
                <w:sz w:val="18"/>
              </w:rPr>
              <w:t> 厅等歌舞娱乐场所；(</w:t>
            </w:r>
            <w:r>
              <w:rPr>
                <w:sz w:val="18"/>
              </w:rPr>
              <w:t>3</w:t>
            </w:r>
            <w:r>
              <w:rPr>
                <w:spacing w:val="-2"/>
                <w:sz w:val="18"/>
              </w:rPr>
              <w:t>)具有娱乐功能的夜总会、音</w:t>
            </w:r>
            <w:r>
              <w:rPr>
                <w:spacing w:val="-5"/>
                <w:sz w:val="18"/>
              </w:rPr>
              <w:t>乐茶座和餐饮场所；(</w:t>
            </w:r>
            <w:r>
              <w:rPr>
                <w:spacing w:val="-4"/>
                <w:sz w:val="18"/>
              </w:rPr>
              <w:t>4</w:t>
            </w:r>
            <w:r>
              <w:rPr>
                <w:spacing w:val="-9"/>
                <w:sz w:val="18"/>
              </w:rPr>
              <w:t>)游艺、游乐场所；(</w:t>
            </w:r>
            <w:r>
              <w:rPr>
                <w:spacing w:val="-4"/>
                <w:sz w:val="18"/>
              </w:rPr>
              <w:t>5</w:t>
            </w:r>
            <w:r>
              <w:rPr>
                <w:spacing w:val="-2"/>
                <w:sz w:val="18"/>
              </w:rPr>
              <w:t>)保龄球馆、旱冰场、桑拿浴室、美容院、棋牌室、洗脚房等营业性健身休闲场所</w:t>
            </w:r>
          </w:p>
        </w:tc>
      </w:tr>
      <w:tr>
        <w:trPr>
          <w:trHeight w:val="372" w:hRule="atLeast"/>
        </w:trPr>
        <w:tc>
          <w:tcPr>
            <w:tcW w:w="391" w:type="dxa"/>
            <w:vMerge/>
            <w:tcBorders>
              <w:top w:val="nil"/>
            </w:tcBorders>
          </w:tcPr>
          <w:p>
            <w:pPr>
              <w:rPr>
                <w:sz w:val="2"/>
                <w:szCs w:val="2"/>
              </w:rPr>
            </w:pPr>
          </w:p>
        </w:tc>
        <w:tc>
          <w:tcPr>
            <w:tcW w:w="1707" w:type="dxa"/>
            <w:gridSpan w:val="3"/>
            <w:vMerge w:val="restart"/>
          </w:tcPr>
          <w:p>
            <w:pPr>
              <w:pStyle w:val="TableParagraph"/>
              <w:spacing w:before="5"/>
              <w:rPr>
                <w:rFonts w:ascii="黑体"/>
                <w:sz w:val="25"/>
              </w:rPr>
            </w:pPr>
          </w:p>
          <w:p>
            <w:pPr>
              <w:pStyle w:val="TableParagraph"/>
              <w:spacing w:line="249" w:lineRule="auto" w:before="1"/>
              <w:ind w:left="38" w:right="34"/>
              <w:jc w:val="both"/>
              <w:rPr>
                <w:sz w:val="18"/>
              </w:rPr>
            </w:pPr>
            <w:r>
              <w:rPr>
                <w:sz w:val="18"/>
              </w:rPr>
              <w:t>□ 2、医院、养老院和寄宿制的学校、托儿所、幼儿园</w:t>
            </w:r>
          </w:p>
        </w:tc>
        <w:tc>
          <w:tcPr>
            <w:tcW w:w="4425" w:type="dxa"/>
            <w:gridSpan w:val="7"/>
          </w:tcPr>
          <w:p>
            <w:pPr>
              <w:pStyle w:val="TableParagraph"/>
              <w:spacing w:before="76"/>
              <w:ind w:left="35"/>
              <w:rPr>
                <w:sz w:val="18"/>
              </w:rPr>
            </w:pPr>
            <w:r>
              <w:rPr>
                <w:sz w:val="18"/>
              </w:rPr>
              <w:t>□ 2. 1 住院床位在 50 张以上的医疗保健机构</w:t>
            </w:r>
          </w:p>
        </w:tc>
      </w:tr>
      <w:tr>
        <w:trPr>
          <w:trHeight w:val="323"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before="55"/>
              <w:ind w:left="35"/>
              <w:rPr>
                <w:sz w:val="18"/>
              </w:rPr>
            </w:pPr>
            <w:r>
              <w:rPr>
                <w:sz w:val="18"/>
              </w:rPr>
              <w:t>□ 2. 2 老人住宿床位在 50 张以上的养老院</w:t>
            </w:r>
          </w:p>
        </w:tc>
      </w:tr>
      <w:tr>
        <w:trPr>
          <w:trHeight w:val="321"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before="53"/>
              <w:ind w:left="35"/>
              <w:rPr>
                <w:sz w:val="18"/>
              </w:rPr>
            </w:pPr>
            <w:r>
              <w:rPr>
                <w:sz w:val="18"/>
              </w:rPr>
              <w:t>□ 2. 3 学生住宿床位在 100 张以上的学校</w:t>
            </w:r>
          </w:p>
        </w:tc>
      </w:tr>
      <w:tr>
        <w:trPr>
          <w:trHeight w:val="304"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before="45"/>
              <w:ind w:left="35"/>
              <w:rPr>
                <w:sz w:val="18"/>
              </w:rPr>
            </w:pPr>
            <w:r>
              <w:rPr>
                <w:sz w:val="18"/>
              </w:rPr>
              <w:t>□ 2. 4 幼儿住宿床位在 50 张以上的托儿所、幼儿园</w:t>
            </w:r>
          </w:p>
        </w:tc>
      </w:tr>
      <w:tr>
        <w:trPr>
          <w:trHeight w:val="321" w:hRule="atLeast"/>
        </w:trPr>
        <w:tc>
          <w:tcPr>
            <w:tcW w:w="391" w:type="dxa"/>
            <w:vMerge/>
            <w:tcBorders>
              <w:top w:val="nil"/>
            </w:tcBorders>
          </w:tcPr>
          <w:p>
            <w:pPr>
              <w:rPr>
                <w:sz w:val="2"/>
                <w:szCs w:val="2"/>
              </w:rPr>
            </w:pPr>
          </w:p>
        </w:tc>
        <w:tc>
          <w:tcPr>
            <w:tcW w:w="1707" w:type="dxa"/>
            <w:gridSpan w:val="3"/>
            <w:vMerge w:val="restart"/>
          </w:tcPr>
          <w:p>
            <w:pPr>
              <w:pStyle w:val="TableParagraph"/>
              <w:rPr>
                <w:rFonts w:ascii="黑体"/>
                <w:sz w:val="17"/>
              </w:rPr>
            </w:pPr>
          </w:p>
          <w:p>
            <w:pPr>
              <w:pStyle w:val="TableParagraph"/>
              <w:ind w:left="38"/>
              <w:rPr>
                <w:sz w:val="18"/>
              </w:rPr>
            </w:pPr>
            <w:r>
              <w:rPr>
                <w:sz w:val="18"/>
              </w:rPr>
              <w:t>□ 3、国家机关</w:t>
            </w:r>
          </w:p>
        </w:tc>
        <w:tc>
          <w:tcPr>
            <w:tcW w:w="4425" w:type="dxa"/>
            <w:gridSpan w:val="7"/>
          </w:tcPr>
          <w:p>
            <w:pPr>
              <w:pStyle w:val="TableParagraph"/>
              <w:spacing w:before="52"/>
              <w:ind w:left="35"/>
              <w:rPr>
                <w:sz w:val="18"/>
              </w:rPr>
            </w:pPr>
            <w:r>
              <w:rPr>
                <w:sz w:val="18"/>
              </w:rPr>
              <w:t>□ 3. 1 县级以上的党委、人大、政府、政协</w:t>
            </w:r>
          </w:p>
        </w:tc>
      </w:tr>
      <w:tr>
        <w:trPr>
          <w:trHeight w:val="318" w:hRule="atLeast"/>
        </w:trPr>
        <w:tc>
          <w:tcPr>
            <w:tcW w:w="391" w:type="dxa"/>
            <w:vMerge/>
            <w:tcBorders>
              <w:top w:val="nil"/>
            </w:tcBorders>
          </w:tcPr>
          <w:p>
            <w:pPr>
              <w:rPr>
                <w:sz w:val="2"/>
                <w:szCs w:val="2"/>
              </w:rPr>
            </w:pPr>
          </w:p>
        </w:tc>
        <w:tc>
          <w:tcPr>
            <w:tcW w:w="1707" w:type="dxa"/>
            <w:gridSpan w:val="3"/>
            <w:vMerge/>
            <w:tcBorders>
              <w:top w:val="nil"/>
            </w:tcBorders>
          </w:tcPr>
          <w:p>
            <w:pPr>
              <w:rPr>
                <w:sz w:val="2"/>
                <w:szCs w:val="2"/>
              </w:rPr>
            </w:pPr>
          </w:p>
        </w:tc>
        <w:tc>
          <w:tcPr>
            <w:tcW w:w="4425" w:type="dxa"/>
            <w:gridSpan w:val="7"/>
          </w:tcPr>
          <w:p>
            <w:pPr>
              <w:pStyle w:val="TableParagraph"/>
              <w:spacing w:before="52"/>
              <w:ind w:left="76"/>
              <w:rPr>
                <w:sz w:val="18"/>
              </w:rPr>
            </w:pPr>
            <w:r>
              <w:rPr>
                <w:sz w:val="18"/>
              </w:rPr>
              <w:t>□ 3. 2 县级以上的人民检察院、人民法院</w:t>
            </w:r>
          </w:p>
        </w:tc>
      </w:tr>
    </w:tbl>
    <w:p>
      <w:pPr>
        <w:spacing w:after="0"/>
        <w:rPr>
          <w:sz w:val="18"/>
        </w:rPr>
        <w:sectPr>
          <w:pgSz w:w="8400" w:h="11910"/>
          <w:pgMar w:header="0" w:footer="875" w:top="1100" w:bottom="980" w:left="700" w:right="560"/>
        </w:sectPr>
      </w:pPr>
    </w:p>
    <w:p>
      <w:pPr>
        <w:pStyle w:val="BodyText"/>
        <w:spacing w:before="3"/>
        <w:ind w:left="0"/>
        <w:rPr>
          <w:rFonts w:ascii="黑体"/>
          <w:sz w:val="2"/>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1707"/>
        <w:gridCol w:w="4425"/>
      </w:tblGrid>
      <w:tr>
        <w:trPr>
          <w:trHeight w:val="290" w:hRule="atLeast"/>
        </w:trPr>
        <w:tc>
          <w:tcPr>
            <w:tcW w:w="391" w:type="dxa"/>
            <w:vMerge w:val="restart"/>
          </w:tcPr>
          <w:p>
            <w:pPr>
              <w:pStyle w:val="TableParagraph"/>
              <w:rPr>
                <w:rFonts w:ascii="Times New Roman"/>
                <w:sz w:val="18"/>
              </w:rPr>
            </w:pPr>
          </w:p>
        </w:tc>
        <w:tc>
          <w:tcPr>
            <w:tcW w:w="1707" w:type="dxa"/>
            <w:vMerge w:val="restart"/>
          </w:tcPr>
          <w:p>
            <w:pPr>
              <w:pStyle w:val="TableParagraph"/>
              <w:spacing w:line="240" w:lineRule="atLeast" w:before="3"/>
              <w:ind w:left="38" w:right="34"/>
              <w:jc w:val="both"/>
              <w:rPr>
                <w:sz w:val="18"/>
              </w:rPr>
            </w:pPr>
            <w:r>
              <w:rPr>
                <w:sz w:val="18"/>
              </w:rPr>
              <w:t>□ 4、广播电台、电视台和邮政、通信枢纽</w:t>
            </w:r>
          </w:p>
        </w:tc>
        <w:tc>
          <w:tcPr>
            <w:tcW w:w="4425" w:type="dxa"/>
          </w:tcPr>
          <w:p>
            <w:pPr>
              <w:pStyle w:val="TableParagraph"/>
              <w:spacing w:before="38"/>
              <w:ind w:left="35"/>
              <w:rPr>
                <w:sz w:val="18"/>
              </w:rPr>
            </w:pPr>
            <w:r>
              <w:rPr>
                <w:sz w:val="18"/>
              </w:rPr>
              <w:t>□ 4 .1 广播电台、电视台</w:t>
            </w:r>
          </w:p>
        </w:tc>
      </w:tr>
      <w:tr>
        <w:trPr>
          <w:trHeight w:val="419"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103"/>
              <w:ind w:left="35"/>
              <w:rPr>
                <w:sz w:val="18"/>
              </w:rPr>
            </w:pPr>
            <w:r>
              <w:rPr>
                <w:sz w:val="18"/>
              </w:rPr>
              <w:t>□ 4. 2 城镇的邮政和通信枢纽单位</w:t>
            </w:r>
          </w:p>
        </w:tc>
      </w:tr>
      <w:tr>
        <w:trPr>
          <w:trHeight w:val="476" w:hRule="atLeast"/>
        </w:trPr>
        <w:tc>
          <w:tcPr>
            <w:tcW w:w="391" w:type="dxa"/>
            <w:vMerge/>
            <w:tcBorders>
              <w:top w:val="nil"/>
            </w:tcBorders>
          </w:tcPr>
          <w:p>
            <w:pPr>
              <w:rPr>
                <w:sz w:val="2"/>
                <w:szCs w:val="2"/>
              </w:rPr>
            </w:pPr>
          </w:p>
        </w:tc>
        <w:tc>
          <w:tcPr>
            <w:tcW w:w="1707" w:type="dxa"/>
            <w:vMerge w:val="restart"/>
          </w:tcPr>
          <w:p>
            <w:pPr>
              <w:pStyle w:val="TableParagraph"/>
              <w:spacing w:line="249" w:lineRule="auto" w:before="160"/>
              <w:ind w:left="38" w:right="34"/>
              <w:rPr>
                <w:sz w:val="18"/>
              </w:rPr>
            </w:pPr>
            <w:r>
              <w:rPr>
                <w:sz w:val="18"/>
              </w:rPr>
              <w:t>□ 5、客运车站、码头、民用机场</w:t>
            </w:r>
          </w:p>
        </w:tc>
        <w:tc>
          <w:tcPr>
            <w:tcW w:w="4425" w:type="dxa"/>
          </w:tcPr>
          <w:p>
            <w:pPr>
              <w:pStyle w:val="TableParagraph"/>
              <w:spacing w:before="8"/>
              <w:ind w:left="35"/>
              <w:rPr>
                <w:sz w:val="18"/>
              </w:rPr>
            </w:pPr>
            <w:r>
              <w:rPr>
                <w:sz w:val="18"/>
              </w:rPr>
              <w:t>□ 5. 1 候车亭、候船厅的建筑面积≥500 ㎡的客运车</w:t>
            </w:r>
          </w:p>
          <w:p>
            <w:pPr>
              <w:pStyle w:val="TableParagraph"/>
              <w:spacing w:line="208" w:lineRule="exact" w:before="10"/>
              <w:ind w:left="35"/>
              <w:rPr>
                <w:sz w:val="18"/>
              </w:rPr>
            </w:pPr>
            <w:r>
              <w:rPr>
                <w:sz w:val="18"/>
              </w:rPr>
              <w:t>站和客运码头</w:t>
            </w:r>
          </w:p>
        </w:tc>
      </w:tr>
      <w:tr>
        <w:trPr>
          <w:trHeight w:val="289"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38"/>
              <w:ind w:left="35"/>
              <w:rPr>
                <w:sz w:val="18"/>
              </w:rPr>
            </w:pPr>
            <w:r>
              <w:rPr>
                <w:sz w:val="18"/>
              </w:rPr>
              <w:t>□ 5. 2 民用机场</w:t>
            </w:r>
          </w:p>
        </w:tc>
      </w:tr>
      <w:tr>
        <w:trPr>
          <w:trHeight w:val="290" w:hRule="atLeast"/>
        </w:trPr>
        <w:tc>
          <w:tcPr>
            <w:tcW w:w="391" w:type="dxa"/>
            <w:vMerge/>
            <w:tcBorders>
              <w:top w:val="nil"/>
            </w:tcBorders>
          </w:tcPr>
          <w:p>
            <w:pPr>
              <w:rPr>
                <w:sz w:val="2"/>
                <w:szCs w:val="2"/>
              </w:rPr>
            </w:pPr>
          </w:p>
        </w:tc>
        <w:tc>
          <w:tcPr>
            <w:tcW w:w="1707" w:type="dxa"/>
            <w:vMerge w:val="restart"/>
          </w:tcPr>
          <w:p>
            <w:pPr>
              <w:pStyle w:val="TableParagraph"/>
              <w:spacing w:line="240" w:lineRule="atLeast" w:before="29"/>
              <w:ind w:left="38" w:right="34"/>
              <w:jc w:val="both"/>
              <w:rPr>
                <w:sz w:val="18"/>
              </w:rPr>
            </w:pPr>
            <w:r>
              <w:rPr>
                <w:sz w:val="18"/>
              </w:rPr>
              <w:t>□ 6、公共图书馆、展览馆、博物馆、档案馆以及具有火灾危险性的文物保护单位</w:t>
            </w:r>
          </w:p>
        </w:tc>
        <w:tc>
          <w:tcPr>
            <w:tcW w:w="4425" w:type="dxa"/>
          </w:tcPr>
          <w:p>
            <w:pPr>
              <w:pStyle w:val="TableParagraph"/>
              <w:spacing w:before="36"/>
              <w:ind w:left="35"/>
              <w:rPr>
                <w:sz w:val="18"/>
              </w:rPr>
            </w:pPr>
            <w:r>
              <w:rPr>
                <w:sz w:val="18"/>
              </w:rPr>
              <w:t>□ 6. 1 建筑面积≥2000 ㎡的公共图书馆、展览馆</w:t>
            </w:r>
          </w:p>
        </w:tc>
      </w:tr>
      <w:tr>
        <w:trPr>
          <w:trHeight w:val="335"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59"/>
              <w:ind w:left="35"/>
              <w:rPr>
                <w:sz w:val="18"/>
              </w:rPr>
            </w:pPr>
            <w:r>
              <w:rPr>
                <w:sz w:val="18"/>
              </w:rPr>
              <w:t>□ 6 .2 博物馆、档案馆</w:t>
            </w:r>
          </w:p>
        </w:tc>
      </w:tr>
      <w:tr>
        <w:trPr>
          <w:trHeight w:val="366"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74"/>
              <w:ind w:left="35"/>
              <w:rPr>
                <w:sz w:val="18"/>
              </w:rPr>
            </w:pPr>
            <w:r>
              <w:rPr>
                <w:sz w:val="18"/>
              </w:rPr>
              <w:t>□ 6. 3 具有火灾危险性的县级以上文物保护单位</w:t>
            </w:r>
          </w:p>
        </w:tc>
      </w:tr>
      <w:tr>
        <w:trPr>
          <w:trHeight w:val="381" w:hRule="atLeast"/>
        </w:trPr>
        <w:tc>
          <w:tcPr>
            <w:tcW w:w="391" w:type="dxa"/>
            <w:vMerge/>
            <w:tcBorders>
              <w:top w:val="nil"/>
            </w:tcBorders>
          </w:tcPr>
          <w:p>
            <w:pPr>
              <w:rPr>
                <w:sz w:val="2"/>
                <w:szCs w:val="2"/>
              </w:rPr>
            </w:pPr>
          </w:p>
        </w:tc>
        <w:tc>
          <w:tcPr>
            <w:tcW w:w="6132" w:type="dxa"/>
            <w:gridSpan w:val="2"/>
          </w:tcPr>
          <w:p>
            <w:pPr>
              <w:pStyle w:val="TableParagraph"/>
              <w:spacing w:before="81"/>
              <w:ind w:left="38"/>
              <w:rPr>
                <w:sz w:val="18"/>
              </w:rPr>
            </w:pPr>
            <w:r>
              <w:rPr>
                <w:sz w:val="18"/>
              </w:rPr>
              <w:t>□ 7、发电厂(站)和电网经营企业</w:t>
            </w:r>
          </w:p>
        </w:tc>
      </w:tr>
      <w:tr>
        <w:trPr>
          <w:trHeight w:val="304" w:hRule="atLeast"/>
        </w:trPr>
        <w:tc>
          <w:tcPr>
            <w:tcW w:w="391" w:type="dxa"/>
            <w:vMerge w:val="restart"/>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6"/>
              <w:rPr>
                <w:rFonts w:ascii="黑体"/>
                <w:sz w:val="13"/>
              </w:rPr>
            </w:pPr>
          </w:p>
          <w:p>
            <w:pPr>
              <w:pStyle w:val="TableParagraph"/>
              <w:spacing w:line="187" w:lineRule="auto"/>
              <w:ind w:left="106" w:right="92"/>
              <w:jc w:val="both"/>
              <w:rPr>
                <w:sz w:val="18"/>
              </w:rPr>
            </w:pPr>
            <w:r>
              <w:rPr>
                <w:sz w:val="18"/>
              </w:rPr>
              <w:t>申报单位类别</w:t>
            </w:r>
          </w:p>
        </w:tc>
        <w:tc>
          <w:tcPr>
            <w:tcW w:w="1707" w:type="dxa"/>
            <w:vMerge w:val="restart"/>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4"/>
              <w:rPr>
                <w:rFonts w:ascii="黑体"/>
                <w:sz w:val="17"/>
              </w:rPr>
            </w:pPr>
          </w:p>
          <w:p>
            <w:pPr>
              <w:pStyle w:val="TableParagraph"/>
              <w:spacing w:line="249" w:lineRule="auto"/>
              <w:ind w:left="38" w:right="34"/>
              <w:jc w:val="both"/>
              <w:rPr>
                <w:sz w:val="18"/>
              </w:rPr>
            </w:pPr>
            <w:r>
              <w:rPr>
                <w:sz w:val="18"/>
              </w:rPr>
              <w:t>□ 8、易燃易爆化学物品的生产、充装、储存、供应、销售单位</w:t>
            </w:r>
          </w:p>
        </w:tc>
        <w:tc>
          <w:tcPr>
            <w:tcW w:w="4425" w:type="dxa"/>
          </w:tcPr>
          <w:p>
            <w:pPr>
              <w:pStyle w:val="TableParagraph"/>
              <w:spacing w:before="43"/>
              <w:ind w:left="35"/>
              <w:rPr>
                <w:sz w:val="18"/>
              </w:rPr>
            </w:pPr>
            <w:r>
              <w:rPr>
                <w:sz w:val="18"/>
              </w:rPr>
              <w:t>□ 8. 1 生产易燃易爆化学物品的工厂</w:t>
            </w:r>
          </w:p>
        </w:tc>
      </w:tr>
      <w:tr>
        <w:trPr>
          <w:trHeight w:val="304"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45"/>
              <w:ind w:left="35"/>
              <w:rPr>
                <w:sz w:val="18"/>
              </w:rPr>
            </w:pPr>
            <w:r>
              <w:rPr>
                <w:sz w:val="18"/>
              </w:rPr>
              <w:t>□ 8. 2 易燃易爆气体和液体的灌装站、调压站</w:t>
            </w:r>
          </w:p>
        </w:tc>
      </w:tr>
      <w:tr>
        <w:trPr>
          <w:trHeight w:val="479"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0" w:lineRule="atLeast" w:before="2"/>
              <w:ind w:left="35" w:right="22"/>
              <w:rPr>
                <w:sz w:val="18"/>
              </w:rPr>
            </w:pPr>
            <w:r>
              <w:rPr>
                <w:sz w:val="18"/>
              </w:rPr>
              <w:t>□ 8</w:t>
            </w:r>
            <w:r>
              <w:rPr>
                <w:spacing w:val="-7"/>
                <w:sz w:val="18"/>
              </w:rPr>
              <w:t>. </w:t>
            </w:r>
            <w:r>
              <w:rPr>
                <w:sz w:val="18"/>
              </w:rPr>
              <w:t>3</w:t>
            </w:r>
            <w:r>
              <w:rPr>
                <w:spacing w:val="-8"/>
                <w:sz w:val="18"/>
              </w:rPr>
              <w:t> 储存易燃易爆化学物品的专用仓库(堆场、储罐</w:t>
            </w:r>
            <w:r>
              <w:rPr>
                <w:sz w:val="18"/>
              </w:rPr>
              <w:t>场所)</w:t>
            </w:r>
          </w:p>
        </w:tc>
      </w:tr>
      <w:tr>
        <w:trPr>
          <w:trHeight w:val="379"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81"/>
              <w:ind w:left="35"/>
              <w:rPr>
                <w:sz w:val="18"/>
              </w:rPr>
            </w:pPr>
            <w:r>
              <w:rPr>
                <w:sz w:val="18"/>
              </w:rPr>
              <w:t>□ 8. 4 易燃易爆化学物品的专业运输单位</w:t>
            </w:r>
          </w:p>
        </w:tc>
      </w:tr>
      <w:tr>
        <w:trPr>
          <w:trHeight w:val="479"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0" w:lineRule="atLeast" w:before="2"/>
              <w:ind w:left="35" w:right="56"/>
              <w:rPr>
                <w:sz w:val="18"/>
              </w:rPr>
            </w:pPr>
            <w:r>
              <w:rPr>
                <w:sz w:val="18"/>
              </w:rPr>
              <w:t>□ 8. 5 营业性汽车加油站、加气站，液化石油气供应站(换瓶站)</w:t>
            </w:r>
          </w:p>
        </w:tc>
      </w:tr>
      <w:tr>
        <w:trPr>
          <w:trHeight w:val="965"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14"/>
              <w:ind w:left="35"/>
              <w:rPr>
                <w:sz w:val="18"/>
              </w:rPr>
            </w:pPr>
            <w:r>
              <w:rPr>
                <w:sz w:val="18"/>
              </w:rPr>
              <w:t>□ 8. 6 经营易燃易爆化学物品的化工商店：(1)经营</w:t>
            </w:r>
          </w:p>
          <w:p>
            <w:pPr>
              <w:pStyle w:val="TableParagraph"/>
              <w:spacing w:before="9"/>
              <w:ind w:left="35"/>
              <w:rPr>
                <w:sz w:val="18"/>
              </w:rPr>
            </w:pPr>
            <w:r>
              <w:rPr>
                <w:spacing w:val="-3"/>
                <w:sz w:val="18"/>
              </w:rPr>
              <w:t>甲、乙类易燃易爆化学物品内总存量 </w:t>
            </w:r>
            <w:r>
              <w:rPr>
                <w:sz w:val="18"/>
              </w:rPr>
              <w:t>200</w:t>
            </w:r>
            <w:r>
              <w:rPr>
                <w:spacing w:val="-19"/>
                <w:sz w:val="18"/>
              </w:rPr>
              <w:t> 公斤或 </w:t>
            </w:r>
            <w:r>
              <w:rPr>
                <w:sz w:val="18"/>
              </w:rPr>
              <w:t>3</w:t>
            </w:r>
            <w:r>
              <w:rPr>
                <w:spacing w:val="-15"/>
                <w:sz w:val="18"/>
              </w:rPr>
              <w:t> 立方</w:t>
            </w:r>
          </w:p>
          <w:p>
            <w:pPr>
              <w:pStyle w:val="TableParagraph"/>
              <w:spacing w:line="240" w:lineRule="atLeast" w:before="1"/>
              <w:ind w:left="35" w:right="25"/>
              <w:rPr>
                <w:sz w:val="18"/>
              </w:rPr>
            </w:pPr>
            <w:r>
              <w:rPr>
                <w:sz w:val="18"/>
              </w:rPr>
              <w:t>米以上的商店(2)</w:t>
            </w:r>
            <w:r>
              <w:rPr>
                <w:spacing w:val="-10"/>
                <w:sz w:val="18"/>
              </w:rPr>
              <w:t>经营甲、乙类易燃易爆化学物品营业面</w:t>
            </w:r>
            <w:r>
              <w:rPr>
                <w:spacing w:val="-16"/>
                <w:sz w:val="18"/>
              </w:rPr>
              <w:t>积在 </w:t>
            </w:r>
            <w:r>
              <w:rPr>
                <w:sz w:val="18"/>
              </w:rPr>
              <w:t>100</w:t>
            </w:r>
            <w:r>
              <w:rPr>
                <w:spacing w:val="-7"/>
                <w:sz w:val="18"/>
              </w:rPr>
              <w:t> 平方米以上的商店</w:t>
            </w:r>
          </w:p>
        </w:tc>
      </w:tr>
      <w:tr>
        <w:trPr>
          <w:trHeight w:val="710"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9" w:lineRule="auto" w:before="126"/>
              <w:ind w:left="35" w:right="-29"/>
              <w:rPr>
                <w:sz w:val="18"/>
              </w:rPr>
            </w:pPr>
            <w:r>
              <w:rPr>
                <w:sz w:val="18"/>
              </w:rPr>
              <w:t>□ 8</w:t>
            </w:r>
            <w:r>
              <w:rPr>
                <w:spacing w:val="-23"/>
                <w:sz w:val="18"/>
              </w:rPr>
              <w:t>. </w:t>
            </w:r>
            <w:r>
              <w:rPr>
                <w:sz w:val="18"/>
              </w:rPr>
              <w:t>7</w:t>
            </w:r>
            <w:r>
              <w:rPr>
                <w:spacing w:val="-12"/>
                <w:sz w:val="18"/>
              </w:rPr>
              <w:t> 经营管道燃气(含液化石油气、天然气、水煤气、油制气等)的单位</w:t>
            </w:r>
          </w:p>
        </w:tc>
      </w:tr>
      <w:tr>
        <w:trPr>
          <w:trHeight w:val="479" w:hRule="atLeast"/>
        </w:trPr>
        <w:tc>
          <w:tcPr>
            <w:tcW w:w="391" w:type="dxa"/>
            <w:vMerge/>
            <w:tcBorders>
              <w:top w:val="nil"/>
            </w:tcBorders>
          </w:tcPr>
          <w:p>
            <w:pPr>
              <w:rPr>
                <w:sz w:val="2"/>
                <w:szCs w:val="2"/>
              </w:rPr>
            </w:pPr>
          </w:p>
        </w:tc>
        <w:tc>
          <w:tcPr>
            <w:tcW w:w="1707" w:type="dxa"/>
          </w:tcPr>
          <w:p>
            <w:pPr>
              <w:pStyle w:val="TableParagraph"/>
              <w:spacing w:line="240" w:lineRule="atLeast" w:before="2"/>
              <w:ind w:left="38" w:right="34"/>
              <w:rPr>
                <w:sz w:val="18"/>
              </w:rPr>
            </w:pPr>
            <w:r>
              <w:rPr>
                <w:sz w:val="18"/>
              </w:rPr>
              <w:t>□ 9、劳动密集型生产、加工企业</w:t>
            </w:r>
          </w:p>
        </w:tc>
        <w:tc>
          <w:tcPr>
            <w:tcW w:w="4425" w:type="dxa"/>
          </w:tcPr>
          <w:p>
            <w:pPr>
              <w:pStyle w:val="TableParagraph"/>
              <w:spacing w:line="240" w:lineRule="atLeast" w:before="2"/>
              <w:ind w:left="35" w:right="24"/>
              <w:rPr>
                <w:sz w:val="18"/>
              </w:rPr>
            </w:pPr>
            <w:r>
              <w:rPr>
                <w:sz w:val="18"/>
              </w:rPr>
              <w:t>□ 9</w:t>
            </w:r>
            <w:r>
              <w:rPr>
                <w:spacing w:val="-23"/>
                <w:sz w:val="18"/>
              </w:rPr>
              <w:t>. </w:t>
            </w:r>
            <w:r>
              <w:rPr>
                <w:sz w:val="18"/>
              </w:rPr>
              <w:t>1</w:t>
            </w:r>
            <w:r>
              <w:rPr>
                <w:spacing w:val="-7"/>
                <w:sz w:val="18"/>
              </w:rPr>
              <w:t>、生产车间员工在 </w:t>
            </w:r>
            <w:r>
              <w:rPr>
                <w:sz w:val="18"/>
              </w:rPr>
              <w:t>100</w:t>
            </w:r>
            <w:r>
              <w:rPr>
                <w:spacing w:val="-9"/>
                <w:sz w:val="18"/>
              </w:rPr>
              <w:t> 人以上的服装、鞋帽、玩</w:t>
            </w:r>
            <w:r>
              <w:rPr>
                <w:sz w:val="18"/>
              </w:rPr>
              <w:t>具等劳动密集型企业</w:t>
            </w:r>
          </w:p>
        </w:tc>
      </w:tr>
      <w:tr>
        <w:trPr>
          <w:trHeight w:val="441" w:hRule="atLeast"/>
        </w:trPr>
        <w:tc>
          <w:tcPr>
            <w:tcW w:w="391" w:type="dxa"/>
            <w:vMerge/>
            <w:tcBorders>
              <w:top w:val="nil"/>
            </w:tcBorders>
          </w:tcPr>
          <w:p>
            <w:pPr>
              <w:rPr>
                <w:sz w:val="2"/>
                <w:szCs w:val="2"/>
              </w:rPr>
            </w:pPr>
          </w:p>
        </w:tc>
        <w:tc>
          <w:tcPr>
            <w:tcW w:w="1707" w:type="dxa"/>
            <w:vMerge w:val="restart"/>
          </w:tcPr>
          <w:p>
            <w:pPr>
              <w:pStyle w:val="TableParagraph"/>
              <w:rPr>
                <w:rFonts w:ascii="黑体"/>
                <w:sz w:val="18"/>
              </w:rPr>
            </w:pPr>
          </w:p>
          <w:p>
            <w:pPr>
              <w:pStyle w:val="TableParagraph"/>
              <w:spacing w:before="1"/>
              <w:rPr>
                <w:rFonts w:ascii="黑体"/>
                <w:sz w:val="18"/>
              </w:rPr>
            </w:pPr>
          </w:p>
          <w:p>
            <w:pPr>
              <w:pStyle w:val="TableParagraph"/>
              <w:spacing w:line="249" w:lineRule="auto"/>
              <w:ind w:left="38" w:right="22"/>
              <w:rPr>
                <w:sz w:val="18"/>
              </w:rPr>
            </w:pPr>
            <w:r>
              <w:rPr>
                <w:sz w:val="18"/>
              </w:rPr>
              <w:t>□ </w:t>
            </w:r>
            <w:r>
              <w:rPr>
                <w:spacing w:val="-20"/>
                <w:sz w:val="18"/>
              </w:rPr>
              <w:t>10</w:t>
            </w:r>
            <w:r>
              <w:rPr>
                <w:spacing w:val="-10"/>
                <w:sz w:val="18"/>
              </w:rPr>
              <w:t>、重要的科研单</w:t>
            </w:r>
            <w:r>
              <w:rPr>
                <w:sz w:val="18"/>
              </w:rPr>
              <w:t>位</w:t>
            </w:r>
          </w:p>
        </w:tc>
        <w:tc>
          <w:tcPr>
            <w:tcW w:w="4425" w:type="dxa"/>
          </w:tcPr>
          <w:p>
            <w:pPr>
              <w:pStyle w:val="TableParagraph"/>
              <w:spacing w:before="110"/>
              <w:ind w:left="35"/>
              <w:rPr>
                <w:sz w:val="18"/>
              </w:rPr>
            </w:pPr>
            <w:r>
              <w:rPr>
                <w:sz w:val="18"/>
              </w:rPr>
              <w:t>□ 10. 1、国家和省级科研单位</w:t>
            </w:r>
          </w:p>
        </w:tc>
      </w:tr>
      <w:tr>
        <w:trPr>
          <w:trHeight w:val="498"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0" w:lineRule="atLeast" w:before="12"/>
              <w:ind w:left="35" w:right="57"/>
              <w:rPr>
                <w:sz w:val="18"/>
              </w:rPr>
            </w:pPr>
            <w:r>
              <w:rPr>
                <w:sz w:val="18"/>
              </w:rPr>
              <w:t>□ 10. 2、负责国家重点项目或者具有国际先进水平的科研单位</w:t>
            </w:r>
          </w:p>
        </w:tc>
      </w:tr>
      <w:tr>
        <w:trPr>
          <w:trHeight w:val="427"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106"/>
              <w:ind w:left="35"/>
              <w:rPr>
                <w:sz w:val="18"/>
              </w:rPr>
            </w:pPr>
            <w:r>
              <w:rPr>
                <w:sz w:val="18"/>
              </w:rPr>
              <w:t>□ 10. 3、科研中具有火灾爆炸危险的科研单位</w:t>
            </w:r>
          </w:p>
        </w:tc>
      </w:tr>
      <w:tr>
        <w:trPr>
          <w:trHeight w:val="378" w:hRule="atLeast"/>
        </w:trPr>
        <w:tc>
          <w:tcPr>
            <w:tcW w:w="391" w:type="dxa"/>
            <w:vMerge/>
            <w:tcBorders>
              <w:top w:val="nil"/>
            </w:tcBorders>
          </w:tcPr>
          <w:p>
            <w:pPr>
              <w:rPr>
                <w:sz w:val="2"/>
                <w:szCs w:val="2"/>
              </w:rPr>
            </w:pPr>
          </w:p>
        </w:tc>
        <w:tc>
          <w:tcPr>
            <w:tcW w:w="1707" w:type="dxa"/>
            <w:vMerge w:val="restart"/>
          </w:tcPr>
          <w:p>
            <w:pPr>
              <w:pStyle w:val="TableParagraph"/>
              <w:spacing w:line="249" w:lineRule="auto" w:before="93"/>
              <w:ind w:left="38" w:right="36"/>
              <w:rPr>
                <w:sz w:val="18"/>
              </w:rPr>
            </w:pPr>
            <w:r>
              <w:rPr>
                <w:sz w:val="18"/>
              </w:rPr>
              <w:t>□ 11、高层公共建筑、地下铁道、地下观光隧道，粮、棉、</w:t>
            </w:r>
          </w:p>
        </w:tc>
        <w:tc>
          <w:tcPr>
            <w:tcW w:w="4425" w:type="dxa"/>
          </w:tcPr>
          <w:p>
            <w:pPr>
              <w:pStyle w:val="TableParagraph"/>
              <w:spacing w:before="81"/>
              <w:ind w:left="35"/>
              <w:rPr>
                <w:sz w:val="18"/>
              </w:rPr>
            </w:pPr>
            <w:r>
              <w:rPr>
                <w:sz w:val="18"/>
              </w:rPr>
              <w:t>□ 11. 1、高层公共建筑的办公楼(写字楼)、公寓楼等</w:t>
            </w:r>
          </w:p>
        </w:tc>
      </w:tr>
      <w:tr>
        <w:trPr>
          <w:trHeight w:val="496"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0" w:lineRule="atLeast" w:before="9"/>
              <w:ind w:left="-13" w:right="-29"/>
              <w:rPr>
                <w:sz w:val="18"/>
              </w:rPr>
            </w:pPr>
            <w:r>
              <w:rPr>
                <w:spacing w:val="-1"/>
                <w:sz w:val="18"/>
              </w:rPr>
              <w:t>□ </w:t>
            </w:r>
            <w:r>
              <w:rPr>
                <w:sz w:val="18"/>
              </w:rPr>
              <w:t>11</w:t>
            </w:r>
            <w:r>
              <w:rPr>
                <w:spacing w:val="-23"/>
                <w:sz w:val="18"/>
              </w:rPr>
              <w:t>. </w:t>
            </w:r>
            <w:r>
              <w:rPr>
                <w:sz w:val="18"/>
              </w:rPr>
              <w:t>2</w:t>
            </w:r>
            <w:r>
              <w:rPr>
                <w:spacing w:val="-3"/>
                <w:sz w:val="18"/>
              </w:rPr>
              <w:t>、城市地下铁道、地下观光隧道等地下公共建筑和城市重要交通隧道</w:t>
            </w:r>
          </w:p>
        </w:tc>
      </w:tr>
    </w:tbl>
    <w:p>
      <w:pPr>
        <w:spacing w:after="0" w:line="240" w:lineRule="atLeast"/>
        <w:rPr>
          <w:sz w:val="18"/>
        </w:rPr>
        <w:sectPr>
          <w:pgSz w:w="8400" w:h="11910"/>
          <w:pgMar w:header="0" w:footer="834" w:top="1100" w:bottom="940" w:left="700" w:right="560"/>
        </w:sectPr>
      </w:pPr>
    </w:p>
    <w:p>
      <w:pPr>
        <w:pStyle w:val="BodyText"/>
        <w:ind w:left="0"/>
        <w:rPr>
          <w:rFonts w:ascii="黑体"/>
          <w:sz w:val="20"/>
        </w:rPr>
      </w:pPr>
    </w:p>
    <w:p>
      <w:pPr>
        <w:pStyle w:val="BodyText"/>
        <w:ind w:left="0"/>
        <w:rPr>
          <w:rFonts w:ascii="黑体"/>
          <w:sz w:val="20"/>
        </w:rPr>
      </w:pPr>
    </w:p>
    <w:p>
      <w:pPr>
        <w:pStyle w:val="BodyText"/>
        <w:ind w:left="0"/>
        <w:rPr>
          <w:rFonts w:ascii="黑体"/>
          <w:sz w:val="20"/>
        </w:rPr>
      </w:pPr>
    </w:p>
    <w:p>
      <w:pPr>
        <w:pStyle w:val="BodyText"/>
        <w:ind w:left="0"/>
        <w:rPr>
          <w:rFonts w:ascii="黑体"/>
          <w:sz w:val="20"/>
        </w:rPr>
      </w:pPr>
    </w:p>
    <w:p>
      <w:pPr>
        <w:pStyle w:val="BodyText"/>
        <w:spacing w:before="11"/>
        <w:ind w:left="0"/>
        <w:rPr>
          <w:rFonts w:ascii="黑体"/>
          <w:sz w:val="18"/>
        </w:rPr>
      </w:pPr>
    </w:p>
    <w:p>
      <w:pPr>
        <w:spacing w:before="75"/>
        <w:ind w:left="0" w:right="335" w:firstLine="0"/>
        <w:jc w:val="right"/>
        <w:rPr>
          <w:rFonts w:ascii="宋体" w:eastAsia="宋体" w:hint="eastAsia"/>
          <w:sz w:val="18"/>
        </w:rPr>
      </w:pPr>
      <w:r>
        <w:rPr/>
        <w:pict>
          <v:shape style="position:absolute;margin-left:45.383999pt;margin-top:-61.910007pt;width:326.9pt;height:406.9pt;mso-position-horizontal-relative:page;mso-position-vertical-relative:paragraph;z-index:2516664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1707"/>
                    <w:gridCol w:w="4425"/>
                  </w:tblGrid>
                  <w:tr>
                    <w:trPr>
                      <w:trHeight w:val="480" w:hRule="atLeast"/>
                    </w:trPr>
                    <w:tc>
                      <w:tcPr>
                        <w:tcW w:w="391" w:type="dxa"/>
                        <w:vMerge w:val="restart"/>
                      </w:tcPr>
                      <w:p>
                        <w:pPr>
                          <w:pStyle w:val="TableParagraph"/>
                          <w:rPr>
                            <w:rFonts w:ascii="Times New Roman"/>
                            <w:sz w:val="18"/>
                          </w:rPr>
                        </w:pPr>
                      </w:p>
                    </w:tc>
                    <w:tc>
                      <w:tcPr>
                        <w:tcW w:w="1707" w:type="dxa"/>
                        <w:vMerge w:val="restart"/>
                      </w:tcPr>
                      <w:p>
                        <w:pPr>
                          <w:pStyle w:val="TableParagraph"/>
                          <w:spacing w:line="249" w:lineRule="auto" w:before="12"/>
                          <w:ind w:left="38" w:right="36"/>
                          <w:jc w:val="both"/>
                          <w:rPr>
                            <w:sz w:val="18"/>
                          </w:rPr>
                        </w:pPr>
                        <w:r>
                          <w:rPr>
                            <w:sz w:val="18"/>
                          </w:rPr>
                          <w:t>木材、百货等物资仓库和堆场，重点工程的施工现场</w:t>
                        </w:r>
                      </w:p>
                    </w:tc>
                    <w:tc>
                      <w:tcPr>
                        <w:tcW w:w="4425" w:type="dxa"/>
                      </w:tcPr>
                      <w:p>
                        <w:pPr>
                          <w:pStyle w:val="TableParagraph"/>
                          <w:spacing w:line="240" w:lineRule="atLeast" w:before="3"/>
                          <w:ind w:left="-13" w:right="-29"/>
                          <w:rPr>
                            <w:sz w:val="18"/>
                          </w:rPr>
                        </w:pPr>
                        <w:r>
                          <w:rPr>
                            <w:spacing w:val="-1"/>
                            <w:sz w:val="18"/>
                          </w:rPr>
                          <w:t>□ </w:t>
                        </w:r>
                        <w:r>
                          <w:rPr>
                            <w:sz w:val="18"/>
                          </w:rPr>
                          <w:t>11</w:t>
                        </w:r>
                        <w:r>
                          <w:rPr>
                            <w:spacing w:val="-24"/>
                            <w:sz w:val="18"/>
                          </w:rPr>
                          <w:t>. </w:t>
                        </w:r>
                        <w:r>
                          <w:rPr>
                            <w:sz w:val="18"/>
                          </w:rPr>
                          <w:t>3</w:t>
                        </w:r>
                        <w:r>
                          <w:rPr>
                            <w:spacing w:val="-7"/>
                            <w:sz w:val="18"/>
                          </w:rPr>
                          <w:t>、国家储备粮库、总储量在 </w:t>
                        </w:r>
                        <w:r>
                          <w:rPr>
                            <w:sz w:val="18"/>
                          </w:rPr>
                          <w:t>10000</w:t>
                        </w:r>
                        <w:r>
                          <w:rPr>
                            <w:spacing w:val="-8"/>
                            <w:sz w:val="18"/>
                          </w:rPr>
                          <w:t> 吨以上的其他粮库</w:t>
                        </w:r>
                      </w:p>
                    </w:tc>
                  </w:tr>
                  <w:tr>
                    <w:trPr>
                      <w:trHeight w:val="387"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85"/>
                          <w:ind w:left="-13"/>
                          <w:rPr>
                            <w:sz w:val="18"/>
                          </w:rPr>
                        </w:pPr>
                        <w:r>
                          <w:rPr>
                            <w:sz w:val="18"/>
                          </w:rPr>
                          <w:t>□ 11. 4、总储量在 500 吨以上的棉库</w:t>
                        </w:r>
                      </w:p>
                    </w:tc>
                  </w:tr>
                  <w:tr>
                    <w:trPr>
                      <w:trHeight w:val="388"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86"/>
                          <w:ind w:left="-13"/>
                          <w:rPr>
                            <w:sz w:val="18"/>
                          </w:rPr>
                        </w:pPr>
                        <w:r>
                          <w:rPr>
                            <w:sz w:val="18"/>
                          </w:rPr>
                          <w:t>□ 11. 5、总储量在 10000 立方米以上的木材堆场</w:t>
                        </w:r>
                      </w:p>
                    </w:tc>
                  </w:tr>
                  <w:tr>
                    <w:trPr>
                      <w:trHeight w:val="481"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0" w:lineRule="atLeast" w:before="5"/>
                          <w:ind w:left="-13" w:right="106"/>
                          <w:rPr>
                            <w:sz w:val="18"/>
                          </w:rPr>
                        </w:pPr>
                        <w:r>
                          <w:rPr>
                            <w:sz w:val="18"/>
                          </w:rPr>
                          <w:t>□ 11</w:t>
                        </w:r>
                        <w:r>
                          <w:rPr>
                            <w:spacing w:val="-23"/>
                            <w:sz w:val="18"/>
                          </w:rPr>
                          <w:t>. 6</w:t>
                        </w:r>
                        <w:r>
                          <w:rPr>
                            <w:spacing w:val="-11"/>
                            <w:sz w:val="18"/>
                          </w:rPr>
                          <w:t>、总储存价值在 </w:t>
                        </w:r>
                        <w:r>
                          <w:rPr>
                            <w:sz w:val="18"/>
                          </w:rPr>
                          <w:t>1000</w:t>
                        </w:r>
                        <w:r>
                          <w:rPr>
                            <w:spacing w:val="-8"/>
                            <w:sz w:val="18"/>
                          </w:rPr>
                          <w:t> 万元以上的可燃物品仓库</w:t>
                        </w:r>
                        <w:r>
                          <w:rPr>
                            <w:sz w:val="18"/>
                          </w:rPr>
                          <w:t>堆场</w:t>
                        </w:r>
                      </w:p>
                    </w:tc>
                  </w:tr>
                  <w:tr>
                    <w:trPr>
                      <w:trHeight w:val="397"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90"/>
                          <w:ind w:left="-13"/>
                          <w:rPr>
                            <w:sz w:val="18"/>
                          </w:rPr>
                        </w:pPr>
                        <w:r>
                          <w:rPr>
                            <w:sz w:val="18"/>
                          </w:rPr>
                          <w:t>□ 11. 7、国家和省级等重点工程的施工现场</w:t>
                        </w:r>
                      </w:p>
                    </w:tc>
                  </w:tr>
                  <w:tr>
                    <w:trPr>
                      <w:trHeight w:val="720" w:hRule="atLeast"/>
                    </w:trPr>
                    <w:tc>
                      <w:tcPr>
                        <w:tcW w:w="391" w:type="dxa"/>
                        <w:vMerge/>
                        <w:tcBorders>
                          <w:top w:val="nil"/>
                        </w:tcBorders>
                      </w:tcPr>
                      <w:p>
                        <w:pPr>
                          <w:rPr>
                            <w:sz w:val="2"/>
                            <w:szCs w:val="2"/>
                          </w:rPr>
                        </w:pPr>
                      </w:p>
                    </w:tc>
                    <w:tc>
                      <w:tcPr>
                        <w:tcW w:w="1707" w:type="dxa"/>
                        <w:vMerge w:val="restart"/>
                      </w:tcPr>
                      <w:p>
                        <w:pPr>
                          <w:pStyle w:val="TableParagraph"/>
                          <w:spacing w:before="11"/>
                          <w:rPr>
                            <w:rFonts w:ascii="仿宋"/>
                            <w:sz w:val="24"/>
                          </w:rPr>
                        </w:pPr>
                      </w:p>
                      <w:p>
                        <w:pPr>
                          <w:pStyle w:val="TableParagraph"/>
                          <w:spacing w:line="249" w:lineRule="auto"/>
                          <w:ind w:left="-10" w:right="-15"/>
                          <w:rPr>
                            <w:sz w:val="18"/>
                          </w:rPr>
                        </w:pPr>
                        <w:r>
                          <w:rPr>
                            <w:spacing w:val="1"/>
                            <w:sz w:val="18"/>
                          </w:rPr>
                          <w:t>□ </w:t>
                        </w:r>
                        <w:r>
                          <w:rPr>
                            <w:sz w:val="18"/>
                          </w:rPr>
                          <w:t>12</w:t>
                        </w:r>
                        <w:r>
                          <w:rPr>
                            <w:spacing w:val="-2"/>
                            <w:sz w:val="18"/>
                          </w:rPr>
                          <w:t>、其他发生火灾</w:t>
                        </w:r>
                        <w:r>
                          <w:rPr>
                            <w:sz w:val="18"/>
                          </w:rPr>
                          <w:t>可能性较大以及一旦发生火灾可能造成人身重大伤亡或者财产重大损失的单位</w:t>
                        </w:r>
                      </w:p>
                    </w:tc>
                    <w:tc>
                      <w:tcPr>
                        <w:tcW w:w="4425" w:type="dxa"/>
                      </w:tcPr>
                      <w:p>
                        <w:pPr>
                          <w:pStyle w:val="TableParagraph"/>
                          <w:spacing w:line="240" w:lineRule="atLeast" w:before="2"/>
                          <w:ind w:left="-13" w:right="-29"/>
                          <w:jc w:val="both"/>
                          <w:rPr>
                            <w:sz w:val="18"/>
                          </w:rPr>
                        </w:pPr>
                        <w:r>
                          <w:rPr>
                            <w:sz w:val="18"/>
                          </w:rPr>
                          <w:t>□ 12</w:t>
                        </w:r>
                        <w:r>
                          <w:rPr>
                            <w:spacing w:val="-23"/>
                            <w:sz w:val="18"/>
                          </w:rPr>
                          <w:t>. </w:t>
                        </w:r>
                        <w:r>
                          <w:rPr>
                            <w:sz w:val="18"/>
                          </w:rPr>
                          <w:t>1</w:t>
                        </w:r>
                        <w:r>
                          <w:rPr>
                            <w:spacing w:val="-3"/>
                            <w:sz w:val="18"/>
                          </w:rPr>
                          <w:t>、生产、制造、储存、装卸火灾危险性较大的烟</w:t>
                        </w:r>
                        <w:r>
                          <w:rPr>
                            <w:spacing w:val="-5"/>
                            <w:sz w:val="18"/>
                          </w:rPr>
                          <w:t>草、汽车、钢铁、造纸、纺织、电器、电子工业等中型以上企业</w:t>
                        </w:r>
                      </w:p>
                    </w:tc>
                  </w:tr>
                  <w:tr>
                    <w:trPr>
                      <w:trHeight w:val="496"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before="139"/>
                          <w:ind w:left="-13"/>
                          <w:rPr>
                            <w:sz w:val="18"/>
                          </w:rPr>
                        </w:pPr>
                        <w:r>
                          <w:rPr>
                            <w:sz w:val="18"/>
                          </w:rPr>
                          <w:t>□ 12. 2、营业面积≥400 ㎡的证券交易所</w:t>
                        </w:r>
                      </w:p>
                    </w:tc>
                  </w:tr>
                  <w:tr>
                    <w:trPr>
                      <w:trHeight w:val="573" w:hRule="atLeast"/>
                    </w:trPr>
                    <w:tc>
                      <w:tcPr>
                        <w:tcW w:w="391" w:type="dxa"/>
                        <w:vMerge/>
                        <w:tcBorders>
                          <w:top w:val="nil"/>
                        </w:tcBorders>
                      </w:tcPr>
                      <w:p>
                        <w:pPr>
                          <w:rPr>
                            <w:sz w:val="2"/>
                            <w:szCs w:val="2"/>
                          </w:rPr>
                        </w:pPr>
                      </w:p>
                    </w:tc>
                    <w:tc>
                      <w:tcPr>
                        <w:tcW w:w="1707" w:type="dxa"/>
                        <w:vMerge/>
                        <w:tcBorders>
                          <w:top w:val="nil"/>
                        </w:tcBorders>
                      </w:tcPr>
                      <w:p>
                        <w:pPr>
                          <w:rPr>
                            <w:sz w:val="2"/>
                            <w:szCs w:val="2"/>
                          </w:rPr>
                        </w:pPr>
                      </w:p>
                    </w:tc>
                    <w:tc>
                      <w:tcPr>
                        <w:tcW w:w="4425" w:type="dxa"/>
                      </w:tcPr>
                      <w:p>
                        <w:pPr>
                          <w:pStyle w:val="TableParagraph"/>
                          <w:spacing w:line="249" w:lineRule="auto" w:before="57"/>
                          <w:ind w:left="-13" w:right="12"/>
                          <w:rPr>
                            <w:sz w:val="18"/>
                          </w:rPr>
                        </w:pPr>
                        <w:r>
                          <w:rPr>
                            <w:sz w:val="18"/>
                          </w:rPr>
                          <w:t>□ 12</w:t>
                        </w:r>
                        <w:r>
                          <w:rPr>
                            <w:spacing w:val="-1"/>
                            <w:sz w:val="18"/>
                          </w:rPr>
                          <w:t>. </w:t>
                        </w:r>
                        <w:r>
                          <w:rPr>
                            <w:sz w:val="18"/>
                          </w:rPr>
                          <w:t>3</w:t>
                        </w:r>
                        <w:r>
                          <w:rPr>
                            <w:spacing w:val="-7"/>
                            <w:sz w:val="18"/>
                          </w:rPr>
                          <w:t>、建筑面积在 </w:t>
                        </w:r>
                        <w:r>
                          <w:rPr>
                            <w:sz w:val="18"/>
                          </w:rPr>
                          <w:t>2000</w:t>
                        </w:r>
                        <w:r>
                          <w:rPr>
                            <w:spacing w:val="-8"/>
                            <w:sz w:val="18"/>
                          </w:rPr>
                          <w:t> 平方米以上的青少年宫、文</w:t>
                        </w:r>
                        <w:r>
                          <w:rPr>
                            <w:sz w:val="18"/>
                          </w:rPr>
                          <w:t>化馆等从事科学文化技术活动的场所</w:t>
                        </w:r>
                      </w:p>
                    </w:tc>
                  </w:tr>
                  <w:tr>
                    <w:trPr>
                      <w:trHeight w:val="4103" w:hRule="atLeast"/>
                    </w:trPr>
                    <w:tc>
                      <w:tcPr>
                        <w:tcW w:w="6523" w:type="dxa"/>
                        <w:gridSpan w:val="3"/>
                      </w:tcPr>
                      <w:p>
                        <w:pPr>
                          <w:pStyle w:val="TableParagraph"/>
                          <w:spacing w:before="8"/>
                          <w:rPr>
                            <w:rFonts w:ascii="仿宋"/>
                            <w:sz w:val="19"/>
                          </w:rPr>
                        </w:pPr>
                      </w:p>
                      <w:p>
                        <w:pPr>
                          <w:pStyle w:val="TableParagraph"/>
                          <w:spacing w:line="249" w:lineRule="auto"/>
                          <w:ind w:left="-13" w:right="41" w:firstLine="360"/>
                          <w:rPr>
                            <w:sz w:val="18"/>
                          </w:rPr>
                        </w:pPr>
                        <w:r>
                          <w:rPr>
                            <w:sz w:val="18"/>
                          </w:rPr>
                          <w:t>根据公安部《机关、团体、企业、事业单位消防安全管理规定》和《湖南省消防安全重点单位界定标准》，我单位应属消防安全重点单位，现申报备案。</w:t>
                        </w: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rPr>
                            <w:rFonts w:ascii="仿宋"/>
                            <w:sz w:val="18"/>
                          </w:rPr>
                        </w:pPr>
                      </w:p>
                      <w:p>
                        <w:pPr>
                          <w:pStyle w:val="TableParagraph"/>
                          <w:spacing w:before="131"/>
                          <w:ind w:left="2719"/>
                          <w:rPr>
                            <w:sz w:val="18"/>
                          </w:rPr>
                        </w:pPr>
                        <w:r>
                          <w:rPr>
                            <w:sz w:val="18"/>
                          </w:rPr>
                          <w:t>单位(盖章)：</w:t>
                        </w:r>
                      </w:p>
                      <w:p>
                        <w:pPr>
                          <w:pStyle w:val="TableParagraph"/>
                          <w:spacing w:before="3"/>
                          <w:rPr>
                            <w:rFonts w:ascii="仿宋"/>
                            <w:sz w:val="13"/>
                          </w:rPr>
                        </w:pPr>
                      </w:p>
                      <w:p>
                        <w:pPr>
                          <w:pStyle w:val="TableParagraph"/>
                          <w:ind w:left="2633"/>
                          <w:rPr>
                            <w:sz w:val="18"/>
                          </w:rPr>
                        </w:pPr>
                        <w:r>
                          <w:rPr>
                            <w:sz w:val="18"/>
                          </w:rPr>
                          <w:t>法定代表人或主要负责人(签名)：</w:t>
                        </w:r>
                      </w:p>
                      <w:p>
                        <w:pPr>
                          <w:pStyle w:val="TableParagraph"/>
                          <w:spacing w:before="4"/>
                          <w:rPr>
                            <w:rFonts w:ascii="仿宋"/>
                            <w:sz w:val="13"/>
                          </w:rPr>
                        </w:pPr>
                      </w:p>
                      <w:p>
                        <w:pPr>
                          <w:pStyle w:val="TableParagraph"/>
                          <w:tabs>
                            <w:tab w:pos="539" w:val="left" w:leader="none"/>
                            <w:tab w:pos="1079" w:val="left" w:leader="none"/>
                          </w:tabs>
                          <w:ind w:right="682"/>
                          <w:jc w:val="right"/>
                          <w:rPr>
                            <w:sz w:val="18"/>
                          </w:rPr>
                        </w:pPr>
                        <w:r>
                          <w:rPr>
                            <w:sz w:val="18"/>
                          </w:rPr>
                          <w:t>年</w:t>
                          <w:tab/>
                          <w:t>月</w:t>
                          <w:tab/>
                          <w:t>日</w:t>
                        </w:r>
                      </w:p>
                    </w:tc>
                  </w:tr>
                </w:tbl>
                <w:p>
                  <w:pPr>
                    <w:pStyle w:val="BodyText"/>
                    <w:ind w:left="0"/>
                  </w:pPr>
                </w:p>
              </w:txbxContent>
            </v:textbox>
            <w10:wrap type="none"/>
          </v:shape>
        </w:pict>
      </w:r>
      <w:r>
        <w:rPr>
          <w:rFonts w:ascii="宋体" w:eastAsia="宋体" w:hint="eastAsia"/>
          <w:sz w:val="18"/>
        </w:rPr>
        <w:t>、</w:t>
      </w: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ind w:left="0"/>
        <w:rPr>
          <w:rFonts w:ascii="宋体"/>
          <w:sz w:val="18"/>
        </w:rPr>
      </w:pPr>
    </w:p>
    <w:p>
      <w:pPr>
        <w:pStyle w:val="BodyText"/>
        <w:spacing w:before="2"/>
        <w:ind w:left="0"/>
        <w:rPr>
          <w:rFonts w:ascii="宋体"/>
          <w:sz w:val="19"/>
        </w:rPr>
      </w:pPr>
    </w:p>
    <w:p>
      <w:pPr>
        <w:spacing w:before="1"/>
        <w:ind w:left="320" w:right="0" w:firstLine="0"/>
        <w:jc w:val="left"/>
        <w:rPr>
          <w:sz w:val="21"/>
        </w:rPr>
      </w:pPr>
      <w:r>
        <w:rPr>
          <w:sz w:val="21"/>
        </w:rPr>
        <w:t>注：各单位自行对照，并在申报单位类别栏内选择一项打“√”。</w:t>
      </w:r>
    </w:p>
    <w:p>
      <w:pPr>
        <w:spacing w:after="0"/>
        <w:jc w:val="left"/>
        <w:rPr>
          <w:sz w:val="21"/>
        </w:rPr>
        <w:sectPr>
          <w:pgSz w:w="8400" w:h="11910"/>
          <w:pgMar w:header="0" w:footer="875" w:top="1100" w:bottom="980" w:left="700" w:right="560"/>
        </w:sectPr>
      </w:pPr>
    </w:p>
    <w:p>
      <w:pPr>
        <w:pStyle w:val="Heading1"/>
        <w:spacing w:before="29" w:after="5"/>
        <w:ind w:left="266" w:right="404"/>
      </w:pPr>
      <w:r>
        <w:rPr/>
        <w:t>单位基本情况</w:t>
      </w:r>
    </w:p>
    <w:tbl>
      <w:tblPr>
        <w:tblW w:w="0" w:type="auto"/>
        <w:jc w:val="left"/>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63"/>
        <w:gridCol w:w="1805"/>
        <w:gridCol w:w="1460"/>
        <w:gridCol w:w="1395"/>
      </w:tblGrid>
      <w:tr>
        <w:trPr>
          <w:trHeight w:val="398" w:hRule="atLeast"/>
        </w:trPr>
        <w:tc>
          <w:tcPr>
            <w:tcW w:w="1863" w:type="dxa"/>
          </w:tcPr>
          <w:p>
            <w:pPr>
              <w:pStyle w:val="TableParagraph"/>
              <w:spacing w:before="80"/>
              <w:ind w:left="511"/>
              <w:rPr>
                <w:sz w:val="21"/>
              </w:rPr>
            </w:pPr>
            <w:r>
              <w:rPr>
                <w:sz w:val="21"/>
              </w:rPr>
              <w:t>单位名称</w:t>
            </w:r>
          </w:p>
        </w:tc>
        <w:tc>
          <w:tcPr>
            <w:tcW w:w="4660" w:type="dxa"/>
            <w:gridSpan w:val="3"/>
          </w:tcPr>
          <w:p>
            <w:pPr>
              <w:pStyle w:val="TableParagraph"/>
              <w:rPr>
                <w:rFonts w:ascii="Times New Roman"/>
                <w:sz w:val="20"/>
              </w:rPr>
            </w:pPr>
          </w:p>
        </w:tc>
      </w:tr>
      <w:tr>
        <w:trPr>
          <w:trHeight w:val="398" w:hRule="atLeast"/>
        </w:trPr>
        <w:tc>
          <w:tcPr>
            <w:tcW w:w="1863" w:type="dxa"/>
          </w:tcPr>
          <w:p>
            <w:pPr>
              <w:pStyle w:val="TableParagraph"/>
              <w:spacing w:before="78"/>
              <w:ind w:left="511"/>
              <w:rPr>
                <w:sz w:val="21"/>
              </w:rPr>
            </w:pPr>
            <w:r>
              <w:rPr>
                <w:sz w:val="21"/>
              </w:rPr>
              <w:t>单位地址</w:t>
            </w:r>
          </w:p>
        </w:tc>
        <w:tc>
          <w:tcPr>
            <w:tcW w:w="4660" w:type="dxa"/>
            <w:gridSpan w:val="3"/>
          </w:tcPr>
          <w:p>
            <w:pPr>
              <w:pStyle w:val="TableParagraph"/>
              <w:rPr>
                <w:rFonts w:ascii="Times New Roman"/>
                <w:sz w:val="20"/>
              </w:rPr>
            </w:pPr>
          </w:p>
        </w:tc>
      </w:tr>
      <w:tr>
        <w:trPr>
          <w:trHeight w:val="398" w:hRule="atLeast"/>
        </w:trPr>
        <w:tc>
          <w:tcPr>
            <w:tcW w:w="1863" w:type="dxa"/>
          </w:tcPr>
          <w:p>
            <w:pPr>
              <w:pStyle w:val="TableParagraph"/>
              <w:tabs>
                <w:tab w:pos="1142" w:val="left" w:leader="none"/>
              </w:tabs>
              <w:spacing w:before="78"/>
              <w:ind w:left="511"/>
              <w:rPr>
                <w:sz w:val="21"/>
              </w:rPr>
            </w:pPr>
            <w:r>
              <w:rPr>
                <w:sz w:val="21"/>
              </w:rPr>
              <w:t>电</w:t>
              <w:tab/>
              <w:t>话</w:t>
            </w:r>
          </w:p>
        </w:tc>
        <w:tc>
          <w:tcPr>
            <w:tcW w:w="1805" w:type="dxa"/>
          </w:tcPr>
          <w:p>
            <w:pPr>
              <w:pStyle w:val="TableParagraph"/>
              <w:rPr>
                <w:rFonts w:ascii="Times New Roman"/>
                <w:sz w:val="20"/>
              </w:rPr>
            </w:pPr>
          </w:p>
        </w:tc>
        <w:tc>
          <w:tcPr>
            <w:tcW w:w="1460" w:type="dxa"/>
          </w:tcPr>
          <w:p>
            <w:pPr>
              <w:pStyle w:val="TableParagraph"/>
              <w:spacing w:before="78"/>
              <w:ind w:left="82" w:right="71"/>
              <w:jc w:val="center"/>
              <w:rPr>
                <w:sz w:val="21"/>
              </w:rPr>
            </w:pPr>
            <w:r>
              <w:rPr>
                <w:sz w:val="21"/>
              </w:rPr>
              <w:t>单位邮编</w:t>
            </w:r>
          </w:p>
        </w:tc>
        <w:tc>
          <w:tcPr>
            <w:tcW w:w="1395" w:type="dxa"/>
          </w:tcPr>
          <w:p>
            <w:pPr>
              <w:pStyle w:val="TableParagraph"/>
              <w:rPr>
                <w:rFonts w:ascii="Times New Roman"/>
                <w:sz w:val="20"/>
              </w:rPr>
            </w:pPr>
          </w:p>
        </w:tc>
      </w:tr>
      <w:tr>
        <w:trPr>
          <w:trHeight w:val="398" w:hRule="atLeast"/>
        </w:trPr>
        <w:tc>
          <w:tcPr>
            <w:tcW w:w="1863" w:type="dxa"/>
          </w:tcPr>
          <w:p>
            <w:pPr>
              <w:pStyle w:val="TableParagraph"/>
              <w:spacing w:before="78"/>
              <w:ind w:left="405"/>
              <w:rPr>
                <w:sz w:val="21"/>
              </w:rPr>
            </w:pPr>
            <w:r>
              <w:rPr>
                <w:sz w:val="21"/>
              </w:rPr>
              <w:t>经济所有制</w:t>
            </w:r>
          </w:p>
        </w:tc>
        <w:tc>
          <w:tcPr>
            <w:tcW w:w="1805" w:type="dxa"/>
          </w:tcPr>
          <w:p>
            <w:pPr>
              <w:pStyle w:val="TableParagraph"/>
              <w:rPr>
                <w:rFonts w:ascii="Times New Roman"/>
                <w:sz w:val="20"/>
              </w:rPr>
            </w:pPr>
          </w:p>
        </w:tc>
        <w:tc>
          <w:tcPr>
            <w:tcW w:w="1460" w:type="dxa"/>
          </w:tcPr>
          <w:p>
            <w:pPr>
              <w:pStyle w:val="TableParagraph"/>
              <w:spacing w:before="78"/>
              <w:ind w:left="82" w:right="73"/>
              <w:jc w:val="center"/>
              <w:rPr>
                <w:sz w:val="21"/>
              </w:rPr>
            </w:pPr>
            <w:r>
              <w:rPr>
                <w:sz w:val="21"/>
              </w:rPr>
              <w:t>上级主管单位</w:t>
            </w:r>
          </w:p>
        </w:tc>
        <w:tc>
          <w:tcPr>
            <w:tcW w:w="1395" w:type="dxa"/>
          </w:tcPr>
          <w:p>
            <w:pPr>
              <w:pStyle w:val="TableParagraph"/>
              <w:rPr>
                <w:rFonts w:ascii="Times New Roman"/>
                <w:sz w:val="20"/>
              </w:rPr>
            </w:pPr>
          </w:p>
        </w:tc>
      </w:tr>
      <w:tr>
        <w:trPr>
          <w:trHeight w:val="599" w:hRule="atLeast"/>
        </w:trPr>
        <w:tc>
          <w:tcPr>
            <w:tcW w:w="1863" w:type="dxa"/>
          </w:tcPr>
          <w:p>
            <w:pPr>
              <w:pStyle w:val="TableParagraph"/>
              <w:spacing w:line="300" w:lineRule="exact"/>
              <w:ind w:left="633" w:right="249" w:hanging="387"/>
              <w:rPr>
                <w:sz w:val="21"/>
              </w:rPr>
            </w:pPr>
            <w:r>
              <w:rPr>
                <w:w w:val="90"/>
                <w:sz w:val="21"/>
              </w:rPr>
              <w:t>法人代表或主要</w:t>
            </w:r>
            <w:r>
              <w:rPr>
                <w:sz w:val="21"/>
              </w:rPr>
              <w:t>负责人</w:t>
            </w:r>
          </w:p>
        </w:tc>
        <w:tc>
          <w:tcPr>
            <w:tcW w:w="1805" w:type="dxa"/>
          </w:tcPr>
          <w:p>
            <w:pPr>
              <w:pStyle w:val="TableParagraph"/>
              <w:rPr>
                <w:rFonts w:ascii="Times New Roman"/>
                <w:sz w:val="20"/>
              </w:rPr>
            </w:pPr>
          </w:p>
        </w:tc>
        <w:tc>
          <w:tcPr>
            <w:tcW w:w="1460" w:type="dxa"/>
          </w:tcPr>
          <w:p>
            <w:pPr>
              <w:pStyle w:val="TableParagraph"/>
              <w:spacing w:before="178"/>
              <w:ind w:left="82" w:right="71"/>
              <w:jc w:val="center"/>
              <w:rPr>
                <w:sz w:val="21"/>
              </w:rPr>
            </w:pPr>
            <w:r>
              <w:rPr>
                <w:sz w:val="21"/>
              </w:rPr>
              <w:t>联系电话</w:t>
            </w:r>
          </w:p>
        </w:tc>
        <w:tc>
          <w:tcPr>
            <w:tcW w:w="1395" w:type="dxa"/>
          </w:tcPr>
          <w:p>
            <w:pPr>
              <w:pStyle w:val="TableParagraph"/>
              <w:rPr>
                <w:rFonts w:ascii="Times New Roman"/>
                <w:sz w:val="20"/>
              </w:rPr>
            </w:pPr>
          </w:p>
        </w:tc>
      </w:tr>
      <w:tr>
        <w:trPr>
          <w:trHeight w:val="300" w:hRule="atLeast"/>
        </w:trPr>
        <w:tc>
          <w:tcPr>
            <w:tcW w:w="1863" w:type="dxa"/>
          </w:tcPr>
          <w:p>
            <w:pPr>
              <w:pStyle w:val="TableParagraph"/>
              <w:spacing w:line="251" w:lineRule="exact" w:before="29"/>
              <w:ind w:left="91"/>
              <w:rPr>
                <w:sz w:val="21"/>
              </w:rPr>
            </w:pPr>
            <w:r>
              <w:rPr>
                <w:sz w:val="21"/>
              </w:rPr>
              <w:t>消防管理归口部门</w:t>
            </w:r>
          </w:p>
        </w:tc>
        <w:tc>
          <w:tcPr>
            <w:tcW w:w="4660" w:type="dxa"/>
            <w:gridSpan w:val="3"/>
          </w:tcPr>
          <w:p>
            <w:pPr>
              <w:pStyle w:val="TableParagraph"/>
              <w:rPr>
                <w:rFonts w:ascii="Times New Roman"/>
                <w:sz w:val="20"/>
              </w:rPr>
            </w:pPr>
          </w:p>
        </w:tc>
      </w:tr>
      <w:tr>
        <w:trPr>
          <w:trHeight w:val="299" w:hRule="atLeast"/>
        </w:trPr>
        <w:tc>
          <w:tcPr>
            <w:tcW w:w="1863" w:type="dxa"/>
          </w:tcPr>
          <w:p>
            <w:pPr>
              <w:pStyle w:val="TableParagraph"/>
              <w:spacing w:line="250" w:lineRule="exact" w:before="30"/>
              <w:ind w:left="194"/>
              <w:rPr>
                <w:sz w:val="21"/>
              </w:rPr>
            </w:pPr>
            <w:r>
              <w:rPr>
                <w:sz w:val="21"/>
              </w:rPr>
              <w:t>归口部门负责人</w:t>
            </w:r>
          </w:p>
        </w:tc>
        <w:tc>
          <w:tcPr>
            <w:tcW w:w="1805" w:type="dxa"/>
          </w:tcPr>
          <w:p>
            <w:pPr>
              <w:pStyle w:val="TableParagraph"/>
              <w:rPr>
                <w:rFonts w:ascii="Times New Roman"/>
                <w:sz w:val="20"/>
              </w:rPr>
            </w:pPr>
          </w:p>
        </w:tc>
        <w:tc>
          <w:tcPr>
            <w:tcW w:w="1460" w:type="dxa"/>
          </w:tcPr>
          <w:p>
            <w:pPr>
              <w:pStyle w:val="TableParagraph"/>
              <w:spacing w:line="250" w:lineRule="exact" w:before="30"/>
              <w:ind w:left="82" w:right="71"/>
              <w:jc w:val="center"/>
              <w:rPr>
                <w:sz w:val="21"/>
              </w:rPr>
            </w:pPr>
            <w:r>
              <w:rPr>
                <w:sz w:val="21"/>
              </w:rPr>
              <w:t>联系电话</w:t>
            </w:r>
          </w:p>
        </w:tc>
        <w:tc>
          <w:tcPr>
            <w:tcW w:w="1395" w:type="dxa"/>
          </w:tcPr>
          <w:p>
            <w:pPr>
              <w:pStyle w:val="TableParagraph"/>
              <w:rPr>
                <w:rFonts w:ascii="Times New Roman"/>
                <w:sz w:val="20"/>
              </w:rPr>
            </w:pPr>
          </w:p>
        </w:tc>
      </w:tr>
      <w:tr>
        <w:trPr>
          <w:trHeight w:val="388" w:hRule="atLeast"/>
        </w:trPr>
        <w:tc>
          <w:tcPr>
            <w:tcW w:w="5128" w:type="dxa"/>
            <w:gridSpan w:val="3"/>
          </w:tcPr>
          <w:p>
            <w:pPr>
              <w:pStyle w:val="TableParagraph"/>
              <w:spacing w:before="73"/>
              <w:ind w:left="883"/>
              <w:rPr>
                <w:sz w:val="21"/>
              </w:rPr>
            </w:pPr>
            <w:r>
              <w:rPr>
                <w:sz w:val="21"/>
              </w:rPr>
              <w:t>专(兼)职 消 防 管 理 人 员 数 量</w:t>
            </w:r>
          </w:p>
        </w:tc>
        <w:tc>
          <w:tcPr>
            <w:tcW w:w="1395" w:type="dxa"/>
          </w:tcPr>
          <w:p>
            <w:pPr>
              <w:pStyle w:val="TableParagraph"/>
              <w:spacing w:before="73"/>
              <w:ind w:right="84"/>
              <w:jc w:val="right"/>
              <w:rPr>
                <w:sz w:val="21"/>
              </w:rPr>
            </w:pPr>
            <w:r>
              <w:rPr>
                <w:w w:val="100"/>
                <w:sz w:val="21"/>
              </w:rPr>
              <w:t>人</w:t>
            </w:r>
          </w:p>
        </w:tc>
      </w:tr>
      <w:tr>
        <w:trPr>
          <w:trHeight w:val="386" w:hRule="atLeast"/>
        </w:trPr>
        <w:tc>
          <w:tcPr>
            <w:tcW w:w="5128" w:type="dxa"/>
            <w:gridSpan w:val="3"/>
          </w:tcPr>
          <w:p>
            <w:pPr>
              <w:pStyle w:val="TableParagraph"/>
              <w:spacing w:before="73"/>
              <w:ind w:left="1039"/>
              <w:rPr>
                <w:sz w:val="21"/>
              </w:rPr>
            </w:pPr>
            <w:r>
              <w:rPr>
                <w:sz w:val="21"/>
              </w:rPr>
              <w:t>是 否 配 置 自 动 消 防 设 施</w:t>
            </w:r>
          </w:p>
        </w:tc>
        <w:tc>
          <w:tcPr>
            <w:tcW w:w="1395" w:type="dxa"/>
          </w:tcPr>
          <w:p>
            <w:pPr>
              <w:pStyle w:val="TableParagraph"/>
              <w:rPr>
                <w:rFonts w:ascii="Times New Roman"/>
                <w:sz w:val="20"/>
              </w:rPr>
            </w:pPr>
          </w:p>
        </w:tc>
      </w:tr>
      <w:tr>
        <w:trPr>
          <w:trHeight w:val="388" w:hRule="atLeast"/>
        </w:trPr>
        <w:tc>
          <w:tcPr>
            <w:tcW w:w="1863" w:type="dxa"/>
          </w:tcPr>
          <w:p>
            <w:pPr>
              <w:pStyle w:val="TableParagraph"/>
              <w:spacing w:before="75"/>
              <w:ind w:left="239"/>
              <w:rPr>
                <w:sz w:val="21"/>
              </w:rPr>
            </w:pPr>
            <w:r>
              <w:rPr>
                <w:sz w:val="21"/>
              </w:rPr>
              <w:t>生产经营类别</w:t>
            </w:r>
          </w:p>
        </w:tc>
        <w:tc>
          <w:tcPr>
            <w:tcW w:w="1805" w:type="dxa"/>
          </w:tcPr>
          <w:p>
            <w:pPr>
              <w:pStyle w:val="TableParagraph"/>
              <w:rPr>
                <w:rFonts w:ascii="Times New Roman"/>
                <w:sz w:val="20"/>
              </w:rPr>
            </w:pPr>
          </w:p>
        </w:tc>
        <w:tc>
          <w:tcPr>
            <w:tcW w:w="1460" w:type="dxa"/>
          </w:tcPr>
          <w:p>
            <w:pPr>
              <w:pStyle w:val="TableParagraph"/>
              <w:spacing w:before="75"/>
              <w:ind w:left="82" w:right="188"/>
              <w:jc w:val="center"/>
              <w:rPr>
                <w:sz w:val="21"/>
              </w:rPr>
            </w:pPr>
            <w:r>
              <w:rPr>
                <w:sz w:val="21"/>
              </w:rPr>
              <w:t>成立时间</w:t>
            </w:r>
          </w:p>
        </w:tc>
        <w:tc>
          <w:tcPr>
            <w:tcW w:w="1395" w:type="dxa"/>
          </w:tcPr>
          <w:p>
            <w:pPr>
              <w:pStyle w:val="TableParagraph"/>
              <w:rPr>
                <w:rFonts w:ascii="Times New Roman"/>
                <w:sz w:val="20"/>
              </w:rPr>
            </w:pPr>
          </w:p>
        </w:tc>
      </w:tr>
      <w:tr>
        <w:trPr>
          <w:trHeight w:val="388" w:hRule="atLeast"/>
        </w:trPr>
        <w:tc>
          <w:tcPr>
            <w:tcW w:w="1863" w:type="dxa"/>
          </w:tcPr>
          <w:p>
            <w:pPr>
              <w:pStyle w:val="TableParagraph"/>
              <w:spacing w:before="75"/>
              <w:ind w:left="292"/>
              <w:rPr>
                <w:sz w:val="21"/>
              </w:rPr>
            </w:pPr>
            <w:r>
              <w:rPr>
                <w:sz w:val="21"/>
              </w:rPr>
              <w:t>固 定 资 产</w:t>
            </w:r>
          </w:p>
        </w:tc>
        <w:tc>
          <w:tcPr>
            <w:tcW w:w="1805" w:type="dxa"/>
          </w:tcPr>
          <w:p>
            <w:pPr>
              <w:pStyle w:val="TableParagraph"/>
              <w:spacing w:before="75"/>
              <w:ind w:right="98"/>
              <w:jc w:val="right"/>
              <w:rPr>
                <w:sz w:val="21"/>
              </w:rPr>
            </w:pPr>
            <w:r>
              <w:rPr>
                <w:sz w:val="21"/>
              </w:rPr>
              <w:t>万元</w:t>
            </w:r>
          </w:p>
        </w:tc>
        <w:tc>
          <w:tcPr>
            <w:tcW w:w="1460" w:type="dxa"/>
          </w:tcPr>
          <w:p>
            <w:pPr>
              <w:pStyle w:val="TableParagraph"/>
              <w:spacing w:before="75"/>
              <w:ind w:left="82" w:right="188"/>
              <w:jc w:val="center"/>
              <w:rPr>
                <w:sz w:val="21"/>
              </w:rPr>
            </w:pPr>
            <w:r>
              <w:rPr>
                <w:sz w:val="21"/>
              </w:rPr>
              <w:t>年总产值</w:t>
            </w:r>
          </w:p>
        </w:tc>
        <w:tc>
          <w:tcPr>
            <w:tcW w:w="1395" w:type="dxa"/>
          </w:tcPr>
          <w:p>
            <w:pPr>
              <w:pStyle w:val="TableParagraph"/>
              <w:spacing w:before="75"/>
              <w:ind w:right="103"/>
              <w:jc w:val="right"/>
              <w:rPr>
                <w:sz w:val="21"/>
              </w:rPr>
            </w:pPr>
            <w:r>
              <w:rPr>
                <w:sz w:val="21"/>
              </w:rPr>
              <w:t>万元</w:t>
            </w:r>
          </w:p>
        </w:tc>
      </w:tr>
      <w:tr>
        <w:trPr>
          <w:trHeight w:val="388" w:hRule="atLeast"/>
        </w:trPr>
        <w:tc>
          <w:tcPr>
            <w:tcW w:w="1863" w:type="dxa"/>
          </w:tcPr>
          <w:p>
            <w:pPr>
              <w:pStyle w:val="TableParagraph"/>
              <w:spacing w:before="73"/>
              <w:ind w:left="292"/>
              <w:rPr>
                <w:sz w:val="21"/>
              </w:rPr>
            </w:pPr>
            <w:r>
              <w:rPr>
                <w:sz w:val="21"/>
              </w:rPr>
              <w:t>占 地 面 积</w:t>
            </w:r>
          </w:p>
        </w:tc>
        <w:tc>
          <w:tcPr>
            <w:tcW w:w="1805" w:type="dxa"/>
          </w:tcPr>
          <w:p>
            <w:pPr>
              <w:pStyle w:val="TableParagraph"/>
              <w:spacing w:before="73"/>
              <w:ind w:right="98"/>
              <w:jc w:val="right"/>
              <w:rPr>
                <w:sz w:val="21"/>
              </w:rPr>
            </w:pPr>
            <w:r>
              <w:rPr>
                <w:w w:val="100"/>
                <w:sz w:val="21"/>
              </w:rPr>
              <w:t>㎡</w:t>
            </w:r>
          </w:p>
        </w:tc>
        <w:tc>
          <w:tcPr>
            <w:tcW w:w="1460" w:type="dxa"/>
          </w:tcPr>
          <w:p>
            <w:pPr>
              <w:pStyle w:val="TableParagraph"/>
              <w:spacing w:before="73"/>
              <w:ind w:left="82" w:right="188"/>
              <w:jc w:val="center"/>
              <w:rPr>
                <w:sz w:val="21"/>
              </w:rPr>
            </w:pPr>
            <w:r>
              <w:rPr>
                <w:sz w:val="21"/>
              </w:rPr>
              <w:t>建筑面积</w:t>
            </w:r>
          </w:p>
        </w:tc>
        <w:tc>
          <w:tcPr>
            <w:tcW w:w="1395" w:type="dxa"/>
          </w:tcPr>
          <w:p>
            <w:pPr>
              <w:pStyle w:val="TableParagraph"/>
              <w:spacing w:before="73"/>
              <w:ind w:right="98"/>
              <w:jc w:val="right"/>
              <w:rPr>
                <w:sz w:val="21"/>
              </w:rPr>
            </w:pPr>
            <w:r>
              <w:rPr>
                <w:w w:val="100"/>
                <w:sz w:val="21"/>
              </w:rPr>
              <w:t>㎡</w:t>
            </w:r>
          </w:p>
        </w:tc>
      </w:tr>
      <w:tr>
        <w:trPr>
          <w:trHeight w:val="679" w:hRule="atLeast"/>
        </w:trPr>
        <w:tc>
          <w:tcPr>
            <w:tcW w:w="1863" w:type="dxa"/>
          </w:tcPr>
          <w:p>
            <w:pPr>
              <w:pStyle w:val="TableParagraph"/>
              <w:spacing w:line="300" w:lineRule="atLeast" w:before="37"/>
              <w:ind w:left="239" w:right="247" w:hanging="106"/>
              <w:rPr>
                <w:sz w:val="21"/>
              </w:rPr>
            </w:pPr>
            <w:r>
              <w:rPr>
                <w:sz w:val="21"/>
              </w:rPr>
              <w:t>高层栋数、高度各栋建筑面积</w:t>
            </w:r>
          </w:p>
        </w:tc>
        <w:tc>
          <w:tcPr>
            <w:tcW w:w="1805" w:type="dxa"/>
          </w:tcPr>
          <w:p>
            <w:pPr>
              <w:pStyle w:val="TableParagraph"/>
              <w:rPr>
                <w:rFonts w:ascii="Times New Roman"/>
                <w:sz w:val="20"/>
              </w:rPr>
            </w:pPr>
          </w:p>
        </w:tc>
        <w:tc>
          <w:tcPr>
            <w:tcW w:w="1460" w:type="dxa"/>
          </w:tcPr>
          <w:p>
            <w:pPr>
              <w:pStyle w:val="TableParagraph"/>
              <w:spacing w:line="300" w:lineRule="atLeast" w:before="37"/>
              <w:ind w:left="355" w:right="149" w:hanging="315"/>
              <w:rPr>
                <w:sz w:val="21"/>
              </w:rPr>
            </w:pPr>
            <w:r>
              <w:rPr>
                <w:sz w:val="21"/>
              </w:rPr>
              <w:t>地下建筑层数总面积</w:t>
            </w:r>
          </w:p>
        </w:tc>
        <w:tc>
          <w:tcPr>
            <w:tcW w:w="1395" w:type="dxa"/>
          </w:tcPr>
          <w:p>
            <w:pPr>
              <w:pStyle w:val="TableParagraph"/>
              <w:rPr>
                <w:rFonts w:ascii="Times New Roman"/>
                <w:sz w:val="20"/>
              </w:rPr>
            </w:pPr>
          </w:p>
        </w:tc>
      </w:tr>
      <w:tr>
        <w:trPr>
          <w:trHeight w:val="405" w:hRule="atLeast"/>
        </w:trPr>
        <w:tc>
          <w:tcPr>
            <w:tcW w:w="1863" w:type="dxa"/>
          </w:tcPr>
          <w:p>
            <w:pPr>
              <w:pStyle w:val="TableParagraph"/>
              <w:spacing w:before="82"/>
              <w:ind w:left="239"/>
              <w:rPr>
                <w:sz w:val="21"/>
              </w:rPr>
            </w:pPr>
            <w:r>
              <w:rPr>
                <w:sz w:val="21"/>
              </w:rPr>
              <w:t>重点工种人数</w:t>
            </w:r>
          </w:p>
        </w:tc>
        <w:tc>
          <w:tcPr>
            <w:tcW w:w="1805" w:type="dxa"/>
          </w:tcPr>
          <w:p>
            <w:pPr>
              <w:pStyle w:val="TableParagraph"/>
              <w:spacing w:before="82"/>
              <w:ind w:right="96"/>
              <w:jc w:val="right"/>
              <w:rPr>
                <w:sz w:val="21"/>
              </w:rPr>
            </w:pPr>
            <w:r>
              <w:rPr>
                <w:w w:val="100"/>
                <w:sz w:val="21"/>
              </w:rPr>
              <w:t>人</w:t>
            </w:r>
          </w:p>
        </w:tc>
        <w:tc>
          <w:tcPr>
            <w:tcW w:w="1460" w:type="dxa"/>
          </w:tcPr>
          <w:p>
            <w:pPr>
              <w:pStyle w:val="TableParagraph"/>
              <w:spacing w:before="82"/>
              <w:ind w:left="82" w:right="188"/>
              <w:jc w:val="center"/>
              <w:rPr>
                <w:sz w:val="21"/>
              </w:rPr>
            </w:pPr>
            <w:r>
              <w:rPr>
                <w:sz w:val="21"/>
              </w:rPr>
              <w:t>职工人数</w:t>
            </w:r>
          </w:p>
        </w:tc>
        <w:tc>
          <w:tcPr>
            <w:tcW w:w="1395" w:type="dxa"/>
          </w:tcPr>
          <w:p>
            <w:pPr>
              <w:pStyle w:val="TableParagraph"/>
              <w:spacing w:before="82"/>
              <w:ind w:right="98"/>
              <w:jc w:val="right"/>
              <w:rPr>
                <w:sz w:val="21"/>
              </w:rPr>
            </w:pPr>
            <w:r>
              <w:rPr>
                <w:w w:val="100"/>
                <w:sz w:val="21"/>
              </w:rPr>
              <w:t>人</w:t>
            </w:r>
          </w:p>
        </w:tc>
      </w:tr>
      <w:tr>
        <w:trPr>
          <w:trHeight w:val="405" w:hRule="atLeast"/>
        </w:trPr>
        <w:tc>
          <w:tcPr>
            <w:tcW w:w="1863" w:type="dxa"/>
          </w:tcPr>
          <w:p>
            <w:pPr>
              <w:pStyle w:val="TableParagraph"/>
              <w:spacing w:before="82"/>
              <w:ind w:left="292"/>
              <w:rPr>
                <w:sz w:val="21"/>
              </w:rPr>
            </w:pPr>
            <w:r>
              <w:rPr>
                <w:sz w:val="21"/>
              </w:rPr>
              <w:t>重 点 部 位</w:t>
            </w:r>
          </w:p>
        </w:tc>
        <w:tc>
          <w:tcPr>
            <w:tcW w:w="1805" w:type="dxa"/>
          </w:tcPr>
          <w:p>
            <w:pPr>
              <w:pStyle w:val="TableParagraph"/>
              <w:spacing w:before="82"/>
              <w:ind w:right="98"/>
              <w:jc w:val="right"/>
              <w:rPr>
                <w:sz w:val="21"/>
              </w:rPr>
            </w:pPr>
            <w:r>
              <w:rPr>
                <w:w w:val="100"/>
                <w:sz w:val="21"/>
              </w:rPr>
              <w:t>处</w:t>
            </w:r>
          </w:p>
        </w:tc>
        <w:tc>
          <w:tcPr>
            <w:tcW w:w="1460" w:type="dxa"/>
          </w:tcPr>
          <w:p>
            <w:pPr>
              <w:pStyle w:val="TableParagraph"/>
              <w:spacing w:before="82"/>
              <w:ind w:left="82" w:right="188"/>
              <w:jc w:val="center"/>
              <w:rPr>
                <w:sz w:val="21"/>
              </w:rPr>
            </w:pPr>
            <w:r>
              <w:rPr>
                <w:sz w:val="21"/>
              </w:rPr>
              <w:t>义务消防队</w:t>
            </w:r>
          </w:p>
        </w:tc>
        <w:tc>
          <w:tcPr>
            <w:tcW w:w="1395" w:type="dxa"/>
          </w:tcPr>
          <w:p>
            <w:pPr>
              <w:pStyle w:val="TableParagraph"/>
              <w:spacing w:before="82"/>
              <w:ind w:right="98"/>
              <w:jc w:val="right"/>
              <w:rPr>
                <w:sz w:val="21"/>
              </w:rPr>
            </w:pPr>
            <w:r>
              <w:rPr>
                <w:w w:val="100"/>
                <w:sz w:val="21"/>
              </w:rPr>
              <w:t>人</w:t>
            </w:r>
          </w:p>
        </w:tc>
      </w:tr>
      <w:tr>
        <w:trPr>
          <w:trHeight w:val="405" w:hRule="atLeast"/>
        </w:trPr>
        <w:tc>
          <w:tcPr>
            <w:tcW w:w="3668" w:type="dxa"/>
            <w:gridSpan w:val="2"/>
          </w:tcPr>
          <w:p>
            <w:pPr>
              <w:pStyle w:val="TableParagraph"/>
              <w:spacing w:before="82"/>
              <w:ind w:left="616"/>
              <w:rPr>
                <w:sz w:val="21"/>
              </w:rPr>
            </w:pPr>
            <w:r>
              <w:rPr>
                <w:sz w:val="21"/>
              </w:rPr>
              <w:t>主要产品或储存物品类别及储量</w:t>
            </w:r>
          </w:p>
        </w:tc>
        <w:tc>
          <w:tcPr>
            <w:tcW w:w="2855" w:type="dxa"/>
            <w:gridSpan w:val="2"/>
          </w:tcPr>
          <w:p>
            <w:pPr>
              <w:pStyle w:val="TableParagraph"/>
              <w:tabs>
                <w:tab w:pos="2540" w:val="left" w:leader="none"/>
              </w:tabs>
              <w:spacing w:before="82"/>
              <w:ind w:left="1068"/>
              <w:rPr>
                <w:sz w:val="21"/>
              </w:rPr>
            </w:pPr>
            <w:r>
              <w:rPr>
                <w:sz w:val="21"/>
              </w:rPr>
              <w:t>类</w:t>
              <w:tab/>
              <w:t>吨</w:t>
            </w:r>
          </w:p>
        </w:tc>
      </w:tr>
      <w:tr>
        <w:trPr>
          <w:trHeight w:val="1133" w:hRule="atLeast"/>
        </w:trPr>
        <w:tc>
          <w:tcPr>
            <w:tcW w:w="6523" w:type="dxa"/>
            <w:gridSpan w:val="4"/>
          </w:tcPr>
          <w:p>
            <w:pPr>
              <w:pStyle w:val="TableParagraph"/>
              <w:spacing w:before="32"/>
              <w:ind w:left="-13"/>
              <w:rPr>
                <w:sz w:val="21"/>
              </w:rPr>
            </w:pPr>
            <w:r>
              <w:rPr>
                <w:sz w:val="21"/>
              </w:rPr>
              <w:t>备注：</w:t>
            </w:r>
          </w:p>
        </w:tc>
      </w:tr>
    </w:tbl>
    <w:p>
      <w:pPr>
        <w:spacing w:line="266" w:lineRule="auto" w:before="30"/>
        <w:ind w:left="320" w:right="398" w:firstLine="396"/>
        <w:jc w:val="both"/>
        <w:rPr>
          <w:rFonts w:ascii="宋体" w:eastAsia="宋体" w:hint="eastAsia"/>
          <w:sz w:val="21"/>
        </w:rPr>
      </w:pPr>
      <w:r>
        <w:rPr>
          <w:rFonts w:ascii="宋体" w:eastAsia="宋体" w:hint="eastAsia"/>
          <w:spacing w:val="-15"/>
          <w:sz w:val="21"/>
        </w:rPr>
        <w:t>注：(</w:t>
      </w:r>
      <w:r>
        <w:rPr>
          <w:rFonts w:ascii="宋体" w:eastAsia="宋体" w:hint="eastAsia"/>
          <w:spacing w:val="-11"/>
          <w:sz w:val="21"/>
        </w:rPr>
        <w:t>1</w:t>
      </w:r>
      <w:r>
        <w:rPr>
          <w:rFonts w:ascii="宋体" w:eastAsia="宋体" w:hint="eastAsia"/>
          <w:spacing w:val="-19"/>
          <w:sz w:val="21"/>
        </w:rPr>
        <w:t>)经营、生产类别按商场、市场、宾馆、饭店、公共娱乐场所、</w:t>
      </w:r>
      <w:r>
        <w:rPr>
          <w:rFonts w:ascii="宋体" w:eastAsia="宋体" w:hint="eastAsia"/>
          <w:spacing w:val="-20"/>
          <w:sz w:val="21"/>
        </w:rPr>
        <w:t>金融、厂矿、机关、院校、其它分类填写；</w:t>
      </w:r>
      <w:r>
        <w:rPr>
          <w:rFonts w:ascii="宋体" w:eastAsia="宋体" w:hint="eastAsia"/>
          <w:spacing w:val="-8"/>
          <w:sz w:val="21"/>
        </w:rPr>
        <w:t>(2</w:t>
      </w:r>
      <w:r>
        <w:rPr>
          <w:rFonts w:ascii="宋体" w:eastAsia="宋体" w:hint="eastAsia"/>
          <w:spacing w:val="-14"/>
          <w:sz w:val="21"/>
        </w:rPr>
        <w:t>)经济所有制按国有、民营、</w:t>
      </w:r>
      <w:r>
        <w:rPr>
          <w:rFonts w:ascii="宋体" w:eastAsia="宋体" w:hint="eastAsia"/>
          <w:spacing w:val="-25"/>
          <w:sz w:val="21"/>
        </w:rPr>
        <w:t>外资、合资、合作、其它分类填写；(</w:t>
      </w:r>
      <w:r>
        <w:rPr>
          <w:rFonts w:ascii="宋体" w:eastAsia="宋体" w:hint="eastAsia"/>
          <w:spacing w:val="-13"/>
          <w:sz w:val="21"/>
        </w:rPr>
        <w:t>3</w:t>
      </w:r>
      <w:r>
        <w:rPr>
          <w:rFonts w:ascii="宋体" w:eastAsia="宋体" w:hint="eastAsia"/>
          <w:spacing w:val="-24"/>
          <w:sz w:val="21"/>
        </w:rPr>
        <w:t>)生产、储存类别按甲、乙、丙、丁、</w:t>
      </w:r>
      <w:r>
        <w:rPr>
          <w:rFonts w:ascii="宋体" w:eastAsia="宋体" w:hint="eastAsia"/>
          <w:spacing w:val="-14"/>
          <w:sz w:val="21"/>
        </w:rPr>
        <w:t>戊分类填写；(</w:t>
      </w:r>
      <w:r>
        <w:rPr>
          <w:rFonts w:ascii="宋体" w:eastAsia="宋体" w:hint="eastAsia"/>
          <w:spacing w:val="-9"/>
          <w:sz w:val="21"/>
        </w:rPr>
        <w:t>4)</w:t>
      </w:r>
      <w:r>
        <w:rPr>
          <w:rFonts w:ascii="宋体" w:eastAsia="宋体" w:hint="eastAsia"/>
          <w:spacing w:val="-15"/>
          <w:sz w:val="21"/>
        </w:rPr>
        <w:t>无法定代表人的单位填写主要负责人。</w:t>
      </w:r>
    </w:p>
    <w:p>
      <w:pPr>
        <w:spacing w:after="0" w:line="266" w:lineRule="auto"/>
        <w:jc w:val="both"/>
        <w:rPr>
          <w:rFonts w:ascii="宋体" w:eastAsia="宋体" w:hint="eastAsia"/>
          <w:sz w:val="21"/>
        </w:rPr>
        <w:sectPr>
          <w:pgSz w:w="8400" w:h="11910"/>
          <w:pgMar w:header="0" w:footer="834" w:top="1100" w:bottom="940" w:left="700" w:right="560"/>
        </w:sectPr>
      </w:pPr>
    </w:p>
    <w:p>
      <w:pPr>
        <w:pStyle w:val="Heading1"/>
        <w:spacing w:before="29" w:after="5"/>
        <w:ind w:left="266" w:right="404"/>
      </w:pPr>
      <w:r>
        <w:rPr/>
        <w:t>消防组织管理机构</w:t>
      </w:r>
    </w:p>
    <w:tbl>
      <w:tblPr>
        <w:tblW w:w="0" w:type="auto"/>
        <w:jc w:val="left"/>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96"/>
        <w:gridCol w:w="1587"/>
        <w:gridCol w:w="1779"/>
        <w:gridCol w:w="1661"/>
      </w:tblGrid>
      <w:tr>
        <w:trPr>
          <w:trHeight w:val="479" w:hRule="atLeast"/>
        </w:trPr>
        <w:tc>
          <w:tcPr>
            <w:tcW w:w="1496" w:type="dxa"/>
          </w:tcPr>
          <w:p>
            <w:pPr>
              <w:pStyle w:val="TableParagraph"/>
              <w:spacing w:line="240" w:lineRule="exact"/>
              <w:ind w:left="220" w:right="214" w:firstLine="105"/>
              <w:rPr>
                <w:sz w:val="21"/>
              </w:rPr>
            </w:pPr>
            <w:r>
              <w:rPr>
                <w:sz w:val="21"/>
              </w:rPr>
              <w:t>消防安全责任人姓名</w:t>
            </w:r>
          </w:p>
        </w:tc>
        <w:tc>
          <w:tcPr>
            <w:tcW w:w="1587" w:type="dxa"/>
          </w:tcPr>
          <w:p>
            <w:pPr>
              <w:pStyle w:val="TableParagraph"/>
              <w:spacing w:before="102"/>
              <w:ind w:left="564" w:right="558"/>
              <w:jc w:val="center"/>
              <w:rPr>
                <w:sz w:val="21"/>
              </w:rPr>
            </w:pPr>
            <w:r>
              <w:rPr>
                <w:sz w:val="21"/>
              </w:rPr>
              <w:t>职务</w:t>
            </w:r>
          </w:p>
        </w:tc>
        <w:tc>
          <w:tcPr>
            <w:tcW w:w="1779" w:type="dxa"/>
          </w:tcPr>
          <w:p>
            <w:pPr>
              <w:pStyle w:val="TableParagraph"/>
              <w:spacing w:before="102"/>
              <w:ind w:left="451" w:right="443"/>
              <w:jc w:val="center"/>
              <w:rPr>
                <w:sz w:val="21"/>
              </w:rPr>
            </w:pPr>
            <w:r>
              <w:rPr>
                <w:sz w:val="21"/>
              </w:rPr>
              <w:t>联系电话</w:t>
            </w:r>
          </w:p>
        </w:tc>
        <w:tc>
          <w:tcPr>
            <w:tcW w:w="1661" w:type="dxa"/>
          </w:tcPr>
          <w:p>
            <w:pPr>
              <w:pStyle w:val="TableParagraph"/>
              <w:spacing w:line="240" w:lineRule="exact"/>
              <w:ind w:left="409" w:right="192" w:hanging="212"/>
              <w:rPr>
                <w:sz w:val="21"/>
              </w:rPr>
            </w:pPr>
            <w:r>
              <w:rPr>
                <w:sz w:val="21"/>
              </w:rPr>
              <w:t>是否经过专门消防培训</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1"/>
              <w:ind w:left="391" w:right="385"/>
              <w:jc w:val="center"/>
              <w:rPr>
                <w:sz w:val="21"/>
              </w:rPr>
            </w:pPr>
            <w:r>
              <w:rPr>
                <w:sz w:val="21"/>
              </w:rPr>
              <w:t>(是)(否)</w:t>
            </w:r>
          </w:p>
        </w:tc>
      </w:tr>
      <w:tr>
        <w:trPr>
          <w:trHeight w:val="479" w:hRule="atLeast"/>
        </w:trPr>
        <w:tc>
          <w:tcPr>
            <w:tcW w:w="1496" w:type="dxa"/>
          </w:tcPr>
          <w:p>
            <w:pPr>
              <w:pStyle w:val="TableParagraph"/>
              <w:spacing w:line="240" w:lineRule="exact"/>
              <w:ind w:left="220" w:right="214" w:firstLine="105"/>
              <w:rPr>
                <w:sz w:val="21"/>
              </w:rPr>
            </w:pPr>
            <w:r>
              <w:rPr>
                <w:sz w:val="21"/>
              </w:rPr>
              <w:t>消防安全管理人姓名</w:t>
            </w:r>
          </w:p>
        </w:tc>
        <w:tc>
          <w:tcPr>
            <w:tcW w:w="1587" w:type="dxa"/>
          </w:tcPr>
          <w:p>
            <w:pPr>
              <w:pStyle w:val="TableParagraph"/>
              <w:spacing w:before="102"/>
              <w:ind w:left="564" w:right="558"/>
              <w:jc w:val="center"/>
              <w:rPr>
                <w:sz w:val="21"/>
              </w:rPr>
            </w:pPr>
            <w:r>
              <w:rPr>
                <w:sz w:val="21"/>
              </w:rPr>
              <w:t>职务</w:t>
            </w:r>
          </w:p>
        </w:tc>
        <w:tc>
          <w:tcPr>
            <w:tcW w:w="1779" w:type="dxa"/>
          </w:tcPr>
          <w:p>
            <w:pPr>
              <w:pStyle w:val="TableParagraph"/>
              <w:spacing w:before="102"/>
              <w:ind w:left="451" w:right="443"/>
              <w:jc w:val="center"/>
              <w:rPr>
                <w:sz w:val="21"/>
              </w:rPr>
            </w:pPr>
            <w:r>
              <w:rPr>
                <w:sz w:val="21"/>
              </w:rPr>
              <w:t>联系电话</w:t>
            </w:r>
          </w:p>
        </w:tc>
        <w:tc>
          <w:tcPr>
            <w:tcW w:w="1661" w:type="dxa"/>
          </w:tcPr>
          <w:p>
            <w:pPr>
              <w:pStyle w:val="TableParagraph"/>
              <w:spacing w:line="240" w:lineRule="exact"/>
              <w:ind w:left="409" w:right="192" w:hanging="212"/>
              <w:rPr>
                <w:sz w:val="21"/>
              </w:rPr>
            </w:pPr>
            <w:r>
              <w:rPr>
                <w:sz w:val="21"/>
              </w:rPr>
              <w:t>是否经过专门消防培训</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1"/>
              <w:ind w:left="391" w:right="385"/>
              <w:jc w:val="center"/>
              <w:rPr>
                <w:sz w:val="21"/>
              </w:rPr>
            </w:pPr>
            <w:r>
              <w:rPr>
                <w:sz w:val="21"/>
              </w:rPr>
              <w:t>(是)(否)</w:t>
            </w:r>
          </w:p>
        </w:tc>
      </w:tr>
      <w:tr>
        <w:trPr>
          <w:trHeight w:val="479" w:hRule="atLeast"/>
        </w:trPr>
        <w:tc>
          <w:tcPr>
            <w:tcW w:w="1496" w:type="dxa"/>
          </w:tcPr>
          <w:p>
            <w:pPr>
              <w:pStyle w:val="TableParagraph"/>
              <w:spacing w:line="240" w:lineRule="exact"/>
              <w:ind w:left="220" w:right="111" w:hanging="106"/>
              <w:rPr>
                <w:sz w:val="21"/>
              </w:rPr>
            </w:pPr>
            <w:r>
              <w:rPr>
                <w:sz w:val="21"/>
              </w:rPr>
              <w:t>消防管理归口部门责任人</w:t>
            </w:r>
          </w:p>
        </w:tc>
        <w:tc>
          <w:tcPr>
            <w:tcW w:w="1587" w:type="dxa"/>
          </w:tcPr>
          <w:p>
            <w:pPr>
              <w:pStyle w:val="TableParagraph"/>
              <w:spacing w:before="102"/>
              <w:ind w:left="564" w:right="558"/>
              <w:jc w:val="center"/>
              <w:rPr>
                <w:sz w:val="21"/>
              </w:rPr>
            </w:pPr>
            <w:r>
              <w:rPr>
                <w:sz w:val="21"/>
              </w:rPr>
              <w:t>职务</w:t>
            </w:r>
          </w:p>
        </w:tc>
        <w:tc>
          <w:tcPr>
            <w:tcW w:w="1779" w:type="dxa"/>
          </w:tcPr>
          <w:p>
            <w:pPr>
              <w:pStyle w:val="TableParagraph"/>
              <w:spacing w:before="102"/>
              <w:ind w:left="451" w:right="443"/>
              <w:jc w:val="center"/>
              <w:rPr>
                <w:sz w:val="21"/>
              </w:rPr>
            </w:pPr>
            <w:r>
              <w:rPr>
                <w:sz w:val="21"/>
              </w:rPr>
              <w:t>联系电话</w:t>
            </w:r>
          </w:p>
        </w:tc>
        <w:tc>
          <w:tcPr>
            <w:tcW w:w="1661" w:type="dxa"/>
          </w:tcPr>
          <w:p>
            <w:pPr>
              <w:pStyle w:val="TableParagraph"/>
              <w:spacing w:line="240" w:lineRule="exact"/>
              <w:ind w:left="409" w:right="192" w:hanging="212"/>
              <w:rPr>
                <w:sz w:val="21"/>
              </w:rPr>
            </w:pPr>
            <w:r>
              <w:rPr>
                <w:sz w:val="21"/>
              </w:rPr>
              <w:t>是否经过专门消防培训</w:t>
            </w:r>
          </w:p>
        </w:tc>
      </w:tr>
      <w:tr>
        <w:trPr>
          <w:trHeight w:val="482"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4"/>
              <w:ind w:left="391" w:right="385"/>
              <w:jc w:val="center"/>
              <w:rPr>
                <w:sz w:val="21"/>
              </w:rPr>
            </w:pPr>
            <w:r>
              <w:rPr>
                <w:sz w:val="21"/>
              </w:rPr>
              <w:t>(是)(否)</w:t>
            </w:r>
          </w:p>
        </w:tc>
      </w:tr>
      <w:tr>
        <w:trPr>
          <w:trHeight w:val="479" w:hRule="atLeast"/>
        </w:trPr>
        <w:tc>
          <w:tcPr>
            <w:tcW w:w="1496" w:type="dxa"/>
          </w:tcPr>
          <w:p>
            <w:pPr>
              <w:pStyle w:val="TableParagraph"/>
              <w:spacing w:line="240" w:lineRule="exact"/>
              <w:ind w:left="326" w:right="214" w:hanging="106"/>
              <w:rPr>
                <w:sz w:val="21"/>
              </w:rPr>
            </w:pPr>
            <w:r>
              <w:rPr>
                <w:sz w:val="21"/>
              </w:rPr>
              <w:t>专兼职消防管理人员</w:t>
            </w:r>
          </w:p>
        </w:tc>
        <w:tc>
          <w:tcPr>
            <w:tcW w:w="1587" w:type="dxa"/>
          </w:tcPr>
          <w:p>
            <w:pPr>
              <w:pStyle w:val="TableParagraph"/>
              <w:spacing w:before="102"/>
              <w:ind w:left="564" w:right="558"/>
              <w:jc w:val="center"/>
              <w:rPr>
                <w:sz w:val="21"/>
              </w:rPr>
            </w:pPr>
            <w:r>
              <w:rPr>
                <w:sz w:val="21"/>
              </w:rPr>
              <w:t>职务</w:t>
            </w:r>
          </w:p>
        </w:tc>
        <w:tc>
          <w:tcPr>
            <w:tcW w:w="1779" w:type="dxa"/>
          </w:tcPr>
          <w:p>
            <w:pPr>
              <w:pStyle w:val="TableParagraph"/>
              <w:spacing w:before="102"/>
              <w:ind w:left="451" w:right="443"/>
              <w:jc w:val="center"/>
              <w:rPr>
                <w:sz w:val="21"/>
              </w:rPr>
            </w:pPr>
            <w:r>
              <w:rPr>
                <w:sz w:val="21"/>
              </w:rPr>
              <w:t>联系电话</w:t>
            </w:r>
          </w:p>
        </w:tc>
        <w:tc>
          <w:tcPr>
            <w:tcW w:w="1661" w:type="dxa"/>
          </w:tcPr>
          <w:p>
            <w:pPr>
              <w:pStyle w:val="TableParagraph"/>
              <w:spacing w:line="240" w:lineRule="exact"/>
              <w:ind w:left="409" w:right="192" w:hanging="212"/>
              <w:rPr>
                <w:sz w:val="21"/>
              </w:rPr>
            </w:pPr>
            <w:r>
              <w:rPr>
                <w:sz w:val="21"/>
              </w:rPr>
              <w:t>是否经过专门消防培训</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1"/>
              <w:ind w:left="391" w:right="385"/>
              <w:jc w:val="center"/>
              <w:rPr>
                <w:sz w:val="21"/>
              </w:rPr>
            </w:pPr>
            <w:r>
              <w:rPr>
                <w:sz w:val="21"/>
              </w:rPr>
              <w:t>(是)(否)</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480"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479" w:hRule="atLeast"/>
        </w:trPr>
        <w:tc>
          <w:tcPr>
            <w:tcW w:w="1496" w:type="dxa"/>
          </w:tcPr>
          <w:p>
            <w:pPr>
              <w:pStyle w:val="TableParagraph"/>
              <w:rPr>
                <w:rFonts w:ascii="Times New Roman"/>
                <w:sz w:val="20"/>
              </w:rPr>
            </w:pPr>
          </w:p>
        </w:tc>
        <w:tc>
          <w:tcPr>
            <w:tcW w:w="1587" w:type="dxa"/>
          </w:tcPr>
          <w:p>
            <w:pPr>
              <w:pStyle w:val="TableParagraph"/>
              <w:rPr>
                <w:rFonts w:ascii="Times New Roman"/>
                <w:sz w:val="20"/>
              </w:rPr>
            </w:pPr>
          </w:p>
        </w:tc>
        <w:tc>
          <w:tcPr>
            <w:tcW w:w="1779" w:type="dxa"/>
          </w:tcPr>
          <w:p>
            <w:pPr>
              <w:pStyle w:val="TableParagraph"/>
              <w:rPr>
                <w:rFonts w:ascii="Times New Roman"/>
                <w:sz w:val="20"/>
              </w:rPr>
            </w:pPr>
          </w:p>
        </w:tc>
        <w:tc>
          <w:tcPr>
            <w:tcW w:w="1661" w:type="dxa"/>
          </w:tcPr>
          <w:p>
            <w:pPr>
              <w:pStyle w:val="TableParagraph"/>
              <w:spacing w:before="102"/>
              <w:ind w:left="391" w:right="385"/>
              <w:jc w:val="center"/>
              <w:rPr>
                <w:sz w:val="21"/>
              </w:rPr>
            </w:pPr>
            <w:r>
              <w:rPr>
                <w:sz w:val="21"/>
              </w:rPr>
              <w:t>(是)(否)</w:t>
            </w:r>
          </w:p>
        </w:tc>
      </w:tr>
      <w:tr>
        <w:trPr>
          <w:trHeight w:val="722" w:hRule="atLeast"/>
        </w:trPr>
        <w:tc>
          <w:tcPr>
            <w:tcW w:w="1496" w:type="dxa"/>
          </w:tcPr>
          <w:p>
            <w:pPr>
              <w:pStyle w:val="TableParagraph"/>
              <w:spacing w:line="213" w:lineRule="auto" w:before="127"/>
              <w:ind w:left="326" w:right="320"/>
              <w:rPr>
                <w:sz w:val="21"/>
              </w:rPr>
            </w:pPr>
            <w:r>
              <w:rPr>
                <w:sz w:val="21"/>
              </w:rPr>
              <w:t>归口管理职能部门</w:t>
            </w:r>
          </w:p>
        </w:tc>
        <w:tc>
          <w:tcPr>
            <w:tcW w:w="5027" w:type="dxa"/>
            <w:gridSpan w:val="3"/>
          </w:tcPr>
          <w:p>
            <w:pPr>
              <w:pStyle w:val="TableParagraph"/>
              <w:rPr>
                <w:rFonts w:ascii="Times New Roman"/>
                <w:sz w:val="20"/>
              </w:rPr>
            </w:pPr>
          </w:p>
        </w:tc>
      </w:tr>
      <w:tr>
        <w:trPr>
          <w:trHeight w:val="1132" w:hRule="atLeast"/>
        </w:trPr>
        <w:tc>
          <w:tcPr>
            <w:tcW w:w="1496" w:type="dxa"/>
          </w:tcPr>
          <w:p>
            <w:pPr>
              <w:pStyle w:val="TableParagraph"/>
              <w:spacing w:before="11"/>
              <w:rPr>
                <w:rFonts w:ascii="黑体"/>
                <w:sz w:val="25"/>
              </w:rPr>
            </w:pPr>
          </w:p>
          <w:p>
            <w:pPr>
              <w:pStyle w:val="TableParagraph"/>
              <w:spacing w:line="213" w:lineRule="auto"/>
              <w:ind w:left="326" w:right="320"/>
              <w:rPr>
                <w:sz w:val="21"/>
              </w:rPr>
            </w:pPr>
            <w:r>
              <w:rPr>
                <w:sz w:val="21"/>
              </w:rPr>
              <w:t>消防安全管理组织</w:t>
            </w:r>
          </w:p>
        </w:tc>
        <w:tc>
          <w:tcPr>
            <w:tcW w:w="5027" w:type="dxa"/>
            <w:gridSpan w:val="3"/>
          </w:tcPr>
          <w:p>
            <w:pPr>
              <w:pStyle w:val="TableParagraph"/>
              <w:rPr>
                <w:rFonts w:ascii="Times New Roman"/>
                <w:sz w:val="20"/>
              </w:rPr>
            </w:pPr>
          </w:p>
        </w:tc>
      </w:tr>
    </w:tbl>
    <w:p>
      <w:pPr>
        <w:spacing w:after="0"/>
        <w:rPr>
          <w:rFonts w:ascii="Times New Roman"/>
          <w:sz w:val="20"/>
        </w:rPr>
        <w:sectPr>
          <w:pgSz w:w="8400" w:h="11910"/>
          <w:pgMar w:header="0" w:footer="875" w:top="1100" w:bottom="1060" w:left="700" w:right="560"/>
        </w:sectPr>
      </w:pPr>
    </w:p>
    <w:p>
      <w:pPr>
        <w:spacing w:before="29" w:after="5"/>
        <w:ind w:left="1996" w:right="0" w:firstLine="0"/>
        <w:jc w:val="left"/>
        <w:rPr>
          <w:rFonts w:ascii="黑体" w:eastAsia="黑体" w:hint="eastAsia"/>
          <w:sz w:val="30"/>
        </w:rPr>
      </w:pPr>
      <w:r>
        <w:rPr>
          <w:rFonts w:ascii="黑体" w:eastAsia="黑体" w:hint="eastAsia"/>
          <w:sz w:val="30"/>
        </w:rPr>
        <w:t>消防管理组织机构人员</w:t>
      </w:r>
    </w:p>
    <w:tbl>
      <w:tblPr>
        <w:tblW w:w="0" w:type="auto"/>
        <w:jc w:val="left"/>
        <w:tblInd w:w="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36"/>
        <w:gridCol w:w="1304"/>
        <w:gridCol w:w="2737"/>
        <w:gridCol w:w="1846"/>
      </w:tblGrid>
      <w:tr>
        <w:trPr>
          <w:trHeight w:val="595" w:hRule="atLeast"/>
        </w:trPr>
        <w:tc>
          <w:tcPr>
            <w:tcW w:w="636" w:type="dxa"/>
          </w:tcPr>
          <w:p>
            <w:pPr>
              <w:pStyle w:val="TableParagraph"/>
              <w:spacing w:before="159"/>
              <w:ind w:left="107"/>
              <w:rPr>
                <w:sz w:val="21"/>
              </w:rPr>
            </w:pPr>
            <w:r>
              <w:rPr>
                <w:sz w:val="21"/>
              </w:rPr>
              <w:t>序号</w:t>
            </w:r>
          </w:p>
        </w:tc>
        <w:tc>
          <w:tcPr>
            <w:tcW w:w="1304" w:type="dxa"/>
          </w:tcPr>
          <w:p>
            <w:pPr>
              <w:pStyle w:val="TableParagraph"/>
              <w:spacing w:before="159"/>
              <w:ind w:left="335"/>
              <w:rPr>
                <w:sz w:val="21"/>
              </w:rPr>
            </w:pPr>
            <w:r>
              <w:rPr>
                <w:sz w:val="21"/>
              </w:rPr>
              <w:t>责任人</w:t>
            </w:r>
          </w:p>
        </w:tc>
        <w:tc>
          <w:tcPr>
            <w:tcW w:w="2737" w:type="dxa"/>
          </w:tcPr>
          <w:p>
            <w:pPr>
              <w:pStyle w:val="TableParagraph"/>
              <w:spacing w:before="159"/>
              <w:ind w:left="931" w:right="920"/>
              <w:jc w:val="center"/>
              <w:rPr>
                <w:sz w:val="21"/>
              </w:rPr>
            </w:pPr>
            <w:r>
              <w:rPr>
                <w:sz w:val="21"/>
              </w:rPr>
              <w:t>责任部门</w:t>
            </w:r>
          </w:p>
        </w:tc>
        <w:tc>
          <w:tcPr>
            <w:tcW w:w="1846" w:type="dxa"/>
          </w:tcPr>
          <w:p>
            <w:pPr>
              <w:pStyle w:val="TableParagraph"/>
              <w:spacing w:before="159"/>
              <w:ind w:left="503"/>
              <w:rPr>
                <w:sz w:val="21"/>
              </w:rPr>
            </w:pPr>
            <w:r>
              <w:rPr>
                <w:sz w:val="21"/>
              </w:rPr>
              <w:t>联系电话</w:t>
            </w: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95"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r>
        <w:trPr>
          <w:trHeight w:val="561" w:hRule="atLeast"/>
        </w:trPr>
        <w:tc>
          <w:tcPr>
            <w:tcW w:w="636" w:type="dxa"/>
          </w:tcPr>
          <w:p>
            <w:pPr>
              <w:pStyle w:val="TableParagraph"/>
              <w:rPr>
                <w:rFonts w:ascii="Times New Roman"/>
                <w:sz w:val="24"/>
              </w:rPr>
            </w:pPr>
          </w:p>
        </w:tc>
        <w:tc>
          <w:tcPr>
            <w:tcW w:w="1304" w:type="dxa"/>
          </w:tcPr>
          <w:p>
            <w:pPr>
              <w:pStyle w:val="TableParagraph"/>
              <w:rPr>
                <w:rFonts w:ascii="Times New Roman"/>
                <w:sz w:val="24"/>
              </w:rPr>
            </w:pPr>
          </w:p>
        </w:tc>
        <w:tc>
          <w:tcPr>
            <w:tcW w:w="2737" w:type="dxa"/>
          </w:tcPr>
          <w:p>
            <w:pPr>
              <w:pStyle w:val="TableParagraph"/>
              <w:rPr>
                <w:rFonts w:ascii="Times New Roman"/>
                <w:sz w:val="24"/>
              </w:rPr>
            </w:pPr>
          </w:p>
        </w:tc>
        <w:tc>
          <w:tcPr>
            <w:tcW w:w="1846" w:type="dxa"/>
          </w:tcPr>
          <w:p>
            <w:pPr>
              <w:pStyle w:val="TableParagraph"/>
              <w:rPr>
                <w:rFonts w:ascii="Times New Roman"/>
                <w:sz w:val="24"/>
              </w:rPr>
            </w:pPr>
          </w:p>
        </w:tc>
      </w:tr>
    </w:tbl>
    <w:p>
      <w:pPr>
        <w:spacing w:after="0"/>
        <w:rPr>
          <w:rFonts w:ascii="Times New Roman"/>
          <w:sz w:val="24"/>
        </w:rPr>
        <w:sectPr>
          <w:pgSz w:w="8400" w:h="11910"/>
          <w:pgMar w:header="0" w:footer="834" w:top="1100" w:bottom="1020" w:left="700" w:right="560"/>
        </w:sectPr>
      </w:pPr>
    </w:p>
    <w:p>
      <w:pPr>
        <w:spacing w:before="29" w:after="5"/>
        <w:ind w:left="266" w:right="404" w:firstLine="0"/>
        <w:jc w:val="center"/>
        <w:rPr>
          <w:rFonts w:ascii="黑体" w:eastAsia="黑体" w:hint="eastAsia"/>
          <w:sz w:val="30"/>
        </w:rPr>
      </w:pPr>
      <w:r>
        <w:rPr>
          <w:rFonts w:ascii="黑体" w:eastAsia="黑体" w:hint="eastAsia"/>
          <w:sz w:val="30"/>
        </w:rPr>
        <w:t>单位消防安全制度</w:t>
      </w:r>
    </w:p>
    <w:tbl>
      <w:tblPr>
        <w:tblW w:w="0" w:type="auto"/>
        <w:jc w:val="left"/>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80"/>
        <w:gridCol w:w="5443"/>
      </w:tblGrid>
      <w:tr>
        <w:trPr>
          <w:trHeight w:val="626" w:hRule="atLeast"/>
        </w:trPr>
        <w:tc>
          <w:tcPr>
            <w:tcW w:w="1080" w:type="dxa"/>
          </w:tcPr>
          <w:p>
            <w:pPr>
              <w:pStyle w:val="TableParagraph"/>
              <w:spacing w:before="178"/>
              <w:ind w:left="331"/>
              <w:rPr>
                <w:sz w:val="21"/>
              </w:rPr>
            </w:pPr>
            <w:r>
              <w:rPr>
                <w:sz w:val="21"/>
              </w:rPr>
              <w:t>序号</w:t>
            </w:r>
          </w:p>
        </w:tc>
        <w:tc>
          <w:tcPr>
            <w:tcW w:w="5443" w:type="dxa"/>
          </w:tcPr>
          <w:p>
            <w:pPr>
              <w:pStyle w:val="TableParagraph"/>
              <w:tabs>
                <w:tab w:pos="429" w:val="left" w:leader="none"/>
                <w:tab w:pos="849" w:val="left" w:leader="none"/>
                <w:tab w:pos="1269" w:val="left" w:leader="none"/>
              </w:tabs>
              <w:spacing w:before="178"/>
              <w:ind w:left="6"/>
              <w:jc w:val="center"/>
              <w:rPr>
                <w:sz w:val="21"/>
              </w:rPr>
            </w:pPr>
            <w:r>
              <w:rPr>
                <w:sz w:val="21"/>
              </w:rPr>
              <w:t>制</w:t>
              <w:tab/>
              <w:t>度</w:t>
              <w:tab/>
              <w:t>名</w:t>
              <w:tab/>
              <w:t>称</w:t>
            </w: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89"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5"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8"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5"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6"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r>
        <w:trPr>
          <w:trHeight w:val="647" w:hRule="atLeast"/>
        </w:trPr>
        <w:tc>
          <w:tcPr>
            <w:tcW w:w="1080" w:type="dxa"/>
          </w:tcPr>
          <w:p>
            <w:pPr>
              <w:pStyle w:val="TableParagraph"/>
              <w:rPr>
                <w:rFonts w:ascii="Times New Roman"/>
                <w:sz w:val="24"/>
              </w:rPr>
            </w:pPr>
          </w:p>
        </w:tc>
        <w:tc>
          <w:tcPr>
            <w:tcW w:w="5443" w:type="dxa"/>
          </w:tcPr>
          <w:p>
            <w:pPr>
              <w:pStyle w:val="TableParagraph"/>
              <w:rPr>
                <w:rFonts w:ascii="Times New Roman"/>
                <w:sz w:val="24"/>
              </w:rPr>
            </w:pPr>
          </w:p>
        </w:tc>
      </w:tr>
    </w:tbl>
    <w:p>
      <w:pPr>
        <w:spacing w:after="0"/>
        <w:rPr>
          <w:rFonts w:ascii="Times New Roman"/>
          <w:sz w:val="24"/>
        </w:rPr>
        <w:sectPr>
          <w:pgSz w:w="8400" w:h="11910"/>
          <w:pgMar w:header="0" w:footer="875" w:top="1100" w:bottom="1060" w:left="700" w:right="560"/>
        </w:sectPr>
      </w:pPr>
    </w:p>
    <w:p>
      <w:pPr>
        <w:spacing w:before="29" w:after="5"/>
        <w:ind w:left="1996" w:right="0" w:firstLine="0"/>
        <w:jc w:val="left"/>
        <w:rPr>
          <w:rFonts w:ascii="黑体" w:eastAsia="黑体" w:hint="eastAsia"/>
          <w:sz w:val="30"/>
        </w:rPr>
      </w:pPr>
      <w:r>
        <w:rPr>
          <w:rFonts w:ascii="黑体" w:eastAsia="黑体" w:hint="eastAsia"/>
          <w:sz w:val="30"/>
        </w:rPr>
        <w:t>单位消防安全操作规程</w:t>
      </w:r>
    </w:p>
    <w:tbl>
      <w:tblPr>
        <w:tblW w:w="0" w:type="auto"/>
        <w:jc w:val="left"/>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18"/>
        <w:gridCol w:w="3543"/>
        <w:gridCol w:w="2161"/>
      </w:tblGrid>
      <w:tr>
        <w:trPr>
          <w:trHeight w:val="671" w:hRule="atLeast"/>
        </w:trPr>
        <w:tc>
          <w:tcPr>
            <w:tcW w:w="818" w:type="dxa"/>
          </w:tcPr>
          <w:p>
            <w:pPr>
              <w:pStyle w:val="TableParagraph"/>
              <w:spacing w:before="8"/>
              <w:rPr>
                <w:rFonts w:ascii="黑体"/>
                <w:sz w:val="15"/>
              </w:rPr>
            </w:pPr>
          </w:p>
          <w:p>
            <w:pPr>
              <w:pStyle w:val="TableParagraph"/>
              <w:ind w:left="199"/>
              <w:rPr>
                <w:sz w:val="21"/>
              </w:rPr>
            </w:pPr>
            <w:r>
              <w:rPr>
                <w:sz w:val="21"/>
              </w:rPr>
              <w:t>序号</w:t>
            </w:r>
          </w:p>
        </w:tc>
        <w:tc>
          <w:tcPr>
            <w:tcW w:w="3543" w:type="dxa"/>
          </w:tcPr>
          <w:p>
            <w:pPr>
              <w:pStyle w:val="TableParagraph"/>
              <w:spacing w:before="8"/>
              <w:rPr>
                <w:rFonts w:ascii="黑体"/>
                <w:sz w:val="15"/>
              </w:rPr>
            </w:pPr>
          </w:p>
          <w:p>
            <w:pPr>
              <w:pStyle w:val="TableParagraph"/>
              <w:ind w:left="723"/>
              <w:rPr>
                <w:sz w:val="21"/>
              </w:rPr>
            </w:pPr>
            <w:r>
              <w:rPr>
                <w:sz w:val="21"/>
              </w:rPr>
              <w:t>消防安全操作规程名称</w:t>
            </w:r>
          </w:p>
        </w:tc>
        <w:tc>
          <w:tcPr>
            <w:tcW w:w="2161" w:type="dxa"/>
          </w:tcPr>
          <w:p>
            <w:pPr>
              <w:pStyle w:val="TableParagraph"/>
              <w:spacing w:before="8"/>
              <w:rPr>
                <w:rFonts w:ascii="黑体"/>
                <w:sz w:val="15"/>
              </w:rPr>
            </w:pPr>
          </w:p>
          <w:p>
            <w:pPr>
              <w:pStyle w:val="TableParagraph"/>
              <w:ind w:left="663"/>
              <w:rPr>
                <w:sz w:val="21"/>
              </w:rPr>
            </w:pPr>
            <w:r>
              <w:rPr>
                <w:sz w:val="21"/>
              </w:rPr>
              <w:t>张贴位置</w:t>
            </w:r>
          </w:p>
        </w:tc>
      </w:tr>
      <w:tr>
        <w:trPr>
          <w:trHeight w:val="669"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1"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2"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69"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1"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1"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69"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1"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1"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69"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2"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r>
        <w:trPr>
          <w:trHeight w:val="671" w:hRule="atLeast"/>
        </w:trPr>
        <w:tc>
          <w:tcPr>
            <w:tcW w:w="818" w:type="dxa"/>
          </w:tcPr>
          <w:p>
            <w:pPr>
              <w:pStyle w:val="TableParagraph"/>
              <w:rPr>
                <w:rFonts w:ascii="Times New Roman"/>
                <w:sz w:val="24"/>
              </w:rPr>
            </w:pPr>
          </w:p>
        </w:tc>
        <w:tc>
          <w:tcPr>
            <w:tcW w:w="3543" w:type="dxa"/>
          </w:tcPr>
          <w:p>
            <w:pPr>
              <w:pStyle w:val="TableParagraph"/>
              <w:rPr>
                <w:rFonts w:ascii="Times New Roman"/>
                <w:sz w:val="24"/>
              </w:rPr>
            </w:pPr>
          </w:p>
        </w:tc>
        <w:tc>
          <w:tcPr>
            <w:tcW w:w="2161" w:type="dxa"/>
          </w:tcPr>
          <w:p>
            <w:pPr>
              <w:pStyle w:val="TableParagraph"/>
              <w:rPr>
                <w:rFonts w:ascii="Times New Roman"/>
                <w:sz w:val="24"/>
              </w:rPr>
            </w:pPr>
          </w:p>
        </w:tc>
      </w:tr>
    </w:tbl>
    <w:p>
      <w:pPr>
        <w:spacing w:after="0"/>
        <w:rPr>
          <w:rFonts w:ascii="Times New Roman"/>
          <w:sz w:val="24"/>
        </w:rPr>
        <w:sectPr>
          <w:pgSz w:w="8400" w:h="11910"/>
          <w:pgMar w:header="0" w:footer="834" w:top="1100" w:bottom="1020" w:left="700" w:right="560"/>
        </w:sectPr>
      </w:pPr>
    </w:p>
    <w:p>
      <w:pPr>
        <w:spacing w:before="29" w:after="5"/>
        <w:ind w:left="266" w:right="404" w:firstLine="0"/>
        <w:jc w:val="center"/>
        <w:rPr>
          <w:rFonts w:ascii="黑体" w:eastAsia="黑体" w:hint="eastAsia"/>
          <w:sz w:val="30"/>
        </w:rPr>
      </w:pPr>
      <w:r>
        <w:rPr>
          <w:rFonts w:ascii="黑体" w:eastAsia="黑体" w:hint="eastAsia"/>
          <w:sz w:val="30"/>
        </w:rPr>
        <w:t>民用建筑概况</w:t>
      </w:r>
    </w:p>
    <w:tbl>
      <w:tblPr>
        <w:tblW w:w="0" w:type="auto"/>
        <w:jc w:val="left"/>
        <w:tblInd w:w="1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49"/>
        <w:gridCol w:w="1830"/>
        <w:gridCol w:w="1030"/>
        <w:gridCol w:w="848"/>
        <w:gridCol w:w="211"/>
        <w:gridCol w:w="1143"/>
      </w:tblGrid>
      <w:tr>
        <w:trPr>
          <w:trHeight w:val="347" w:hRule="atLeast"/>
        </w:trPr>
        <w:tc>
          <w:tcPr>
            <w:tcW w:w="1549" w:type="dxa"/>
          </w:tcPr>
          <w:p>
            <w:pPr>
              <w:pStyle w:val="TableParagraph"/>
              <w:spacing w:before="37"/>
              <w:ind w:left="19" w:right="11"/>
              <w:jc w:val="center"/>
              <w:rPr>
                <w:sz w:val="21"/>
              </w:rPr>
            </w:pPr>
            <w:r>
              <w:rPr>
                <w:sz w:val="21"/>
              </w:rPr>
              <w:t>建筑物名称</w:t>
            </w:r>
          </w:p>
        </w:tc>
        <w:tc>
          <w:tcPr>
            <w:tcW w:w="1830" w:type="dxa"/>
          </w:tcPr>
          <w:p>
            <w:pPr>
              <w:pStyle w:val="TableParagraph"/>
              <w:rPr>
                <w:rFonts w:ascii="Times New Roman"/>
                <w:sz w:val="20"/>
              </w:rPr>
            </w:pPr>
          </w:p>
        </w:tc>
        <w:tc>
          <w:tcPr>
            <w:tcW w:w="1878" w:type="dxa"/>
            <w:gridSpan w:val="2"/>
          </w:tcPr>
          <w:p>
            <w:pPr>
              <w:pStyle w:val="TableParagraph"/>
              <w:spacing w:before="37"/>
              <w:ind w:left="524"/>
              <w:rPr>
                <w:sz w:val="21"/>
              </w:rPr>
            </w:pPr>
            <w:r>
              <w:rPr>
                <w:sz w:val="21"/>
              </w:rPr>
              <w:t>建造时间</w:t>
            </w:r>
          </w:p>
        </w:tc>
        <w:tc>
          <w:tcPr>
            <w:tcW w:w="1354" w:type="dxa"/>
            <w:gridSpan w:val="2"/>
          </w:tcPr>
          <w:p>
            <w:pPr>
              <w:pStyle w:val="TableParagraph"/>
              <w:rPr>
                <w:rFonts w:ascii="Times New Roman"/>
                <w:sz w:val="20"/>
              </w:rPr>
            </w:pPr>
          </w:p>
        </w:tc>
      </w:tr>
      <w:tr>
        <w:trPr>
          <w:trHeight w:val="347" w:hRule="atLeast"/>
        </w:trPr>
        <w:tc>
          <w:tcPr>
            <w:tcW w:w="1549" w:type="dxa"/>
          </w:tcPr>
          <w:p>
            <w:pPr>
              <w:pStyle w:val="TableParagraph"/>
              <w:spacing w:before="27"/>
              <w:ind w:left="19" w:right="11"/>
              <w:jc w:val="center"/>
              <w:rPr>
                <w:sz w:val="21"/>
              </w:rPr>
            </w:pPr>
            <w:r>
              <w:rPr>
                <w:sz w:val="21"/>
              </w:rPr>
              <w:t>总建筑面积(m</w:t>
            </w:r>
            <w:r>
              <w:rPr>
                <w:position w:val="11"/>
                <w:sz w:val="11"/>
              </w:rPr>
              <w:t>2</w:t>
            </w:r>
            <w:r>
              <w:rPr>
                <w:sz w:val="21"/>
              </w:rPr>
              <w:t>)</w:t>
            </w:r>
          </w:p>
        </w:tc>
        <w:tc>
          <w:tcPr>
            <w:tcW w:w="1830" w:type="dxa"/>
          </w:tcPr>
          <w:p>
            <w:pPr>
              <w:pStyle w:val="TableParagraph"/>
              <w:rPr>
                <w:rFonts w:ascii="Times New Roman"/>
                <w:sz w:val="20"/>
              </w:rPr>
            </w:pPr>
          </w:p>
        </w:tc>
        <w:tc>
          <w:tcPr>
            <w:tcW w:w="1878" w:type="dxa"/>
            <w:gridSpan w:val="2"/>
          </w:tcPr>
          <w:p>
            <w:pPr>
              <w:pStyle w:val="TableParagraph"/>
              <w:spacing w:before="27"/>
              <w:ind w:left="22"/>
              <w:rPr>
                <w:sz w:val="21"/>
              </w:rPr>
            </w:pPr>
            <w:r>
              <w:rPr>
                <w:sz w:val="21"/>
              </w:rPr>
              <w:t>建筑物占地面积(m</w:t>
            </w:r>
            <w:r>
              <w:rPr>
                <w:position w:val="11"/>
                <w:sz w:val="11"/>
              </w:rPr>
              <w:t>2</w:t>
            </w:r>
            <w:r>
              <w:rPr>
                <w:sz w:val="21"/>
              </w:rPr>
              <w:t>)</w:t>
            </w:r>
          </w:p>
        </w:tc>
        <w:tc>
          <w:tcPr>
            <w:tcW w:w="1354" w:type="dxa"/>
            <w:gridSpan w:val="2"/>
          </w:tcPr>
          <w:p>
            <w:pPr>
              <w:pStyle w:val="TableParagraph"/>
              <w:rPr>
                <w:rFonts w:ascii="Times New Roman"/>
                <w:sz w:val="20"/>
              </w:rPr>
            </w:pPr>
          </w:p>
        </w:tc>
      </w:tr>
      <w:tr>
        <w:trPr>
          <w:trHeight w:val="347" w:hRule="atLeast"/>
        </w:trPr>
        <w:tc>
          <w:tcPr>
            <w:tcW w:w="1549" w:type="dxa"/>
          </w:tcPr>
          <w:p>
            <w:pPr>
              <w:pStyle w:val="TableParagraph"/>
              <w:spacing w:before="37"/>
              <w:ind w:left="21" w:right="11"/>
              <w:jc w:val="center"/>
              <w:rPr>
                <w:sz w:val="21"/>
              </w:rPr>
            </w:pPr>
            <w:r>
              <w:rPr>
                <w:sz w:val="21"/>
              </w:rPr>
              <w:t>建筑高度(m)</w:t>
            </w:r>
          </w:p>
        </w:tc>
        <w:tc>
          <w:tcPr>
            <w:tcW w:w="1830" w:type="dxa"/>
          </w:tcPr>
          <w:p>
            <w:pPr>
              <w:pStyle w:val="TableParagraph"/>
              <w:rPr>
                <w:rFonts w:ascii="Times New Roman"/>
                <w:sz w:val="20"/>
              </w:rPr>
            </w:pPr>
          </w:p>
        </w:tc>
        <w:tc>
          <w:tcPr>
            <w:tcW w:w="1878" w:type="dxa"/>
            <w:gridSpan w:val="2"/>
          </w:tcPr>
          <w:p>
            <w:pPr>
              <w:pStyle w:val="TableParagraph"/>
              <w:spacing w:before="27"/>
              <w:ind w:left="233"/>
              <w:rPr>
                <w:sz w:val="21"/>
              </w:rPr>
            </w:pPr>
            <w:r>
              <w:rPr>
                <w:sz w:val="21"/>
              </w:rPr>
              <w:t>标准层面积(m</w:t>
            </w:r>
            <w:r>
              <w:rPr>
                <w:position w:val="11"/>
                <w:sz w:val="11"/>
              </w:rPr>
              <w:t>2</w:t>
            </w:r>
            <w:r>
              <w:rPr>
                <w:sz w:val="21"/>
              </w:rPr>
              <w:t>)</w:t>
            </w:r>
          </w:p>
        </w:tc>
        <w:tc>
          <w:tcPr>
            <w:tcW w:w="1354" w:type="dxa"/>
            <w:gridSpan w:val="2"/>
          </w:tcPr>
          <w:p>
            <w:pPr>
              <w:pStyle w:val="TableParagraph"/>
              <w:rPr>
                <w:rFonts w:ascii="Times New Roman"/>
                <w:sz w:val="20"/>
              </w:rPr>
            </w:pPr>
          </w:p>
        </w:tc>
      </w:tr>
      <w:tr>
        <w:trPr>
          <w:trHeight w:val="347" w:hRule="atLeast"/>
        </w:trPr>
        <w:tc>
          <w:tcPr>
            <w:tcW w:w="1549" w:type="dxa"/>
          </w:tcPr>
          <w:p>
            <w:pPr>
              <w:pStyle w:val="TableParagraph"/>
              <w:spacing w:before="27"/>
              <w:ind w:left="19" w:right="11"/>
              <w:jc w:val="center"/>
              <w:rPr>
                <w:sz w:val="21"/>
              </w:rPr>
            </w:pPr>
            <w:r>
              <w:rPr>
                <w:sz w:val="21"/>
              </w:rPr>
              <w:t>地上层面积(m</w:t>
            </w:r>
            <w:r>
              <w:rPr>
                <w:position w:val="11"/>
                <w:sz w:val="11"/>
              </w:rPr>
              <w:t>2</w:t>
            </w:r>
            <w:r>
              <w:rPr>
                <w:sz w:val="21"/>
              </w:rPr>
              <w:t>)</w:t>
            </w:r>
          </w:p>
        </w:tc>
        <w:tc>
          <w:tcPr>
            <w:tcW w:w="1830" w:type="dxa"/>
          </w:tcPr>
          <w:p>
            <w:pPr>
              <w:pStyle w:val="TableParagraph"/>
              <w:rPr>
                <w:rFonts w:ascii="Times New Roman"/>
                <w:sz w:val="20"/>
              </w:rPr>
            </w:pPr>
          </w:p>
        </w:tc>
        <w:tc>
          <w:tcPr>
            <w:tcW w:w="1878" w:type="dxa"/>
            <w:gridSpan w:val="2"/>
          </w:tcPr>
          <w:p>
            <w:pPr>
              <w:pStyle w:val="TableParagraph"/>
              <w:spacing w:before="27"/>
              <w:ind w:left="233"/>
              <w:rPr>
                <w:sz w:val="21"/>
              </w:rPr>
            </w:pPr>
            <w:r>
              <w:rPr>
                <w:sz w:val="21"/>
              </w:rPr>
              <w:t>地下层面积(m</w:t>
            </w:r>
            <w:r>
              <w:rPr>
                <w:position w:val="11"/>
                <w:sz w:val="11"/>
              </w:rPr>
              <w:t>2</w:t>
            </w:r>
            <w:r>
              <w:rPr>
                <w:sz w:val="21"/>
              </w:rPr>
              <w:t>)</w:t>
            </w:r>
          </w:p>
        </w:tc>
        <w:tc>
          <w:tcPr>
            <w:tcW w:w="1354" w:type="dxa"/>
            <w:gridSpan w:val="2"/>
          </w:tcPr>
          <w:p>
            <w:pPr>
              <w:pStyle w:val="TableParagraph"/>
              <w:rPr>
                <w:rFonts w:ascii="Times New Roman"/>
                <w:sz w:val="20"/>
              </w:rPr>
            </w:pPr>
          </w:p>
        </w:tc>
      </w:tr>
      <w:tr>
        <w:trPr>
          <w:trHeight w:val="347" w:hRule="atLeast"/>
        </w:trPr>
        <w:tc>
          <w:tcPr>
            <w:tcW w:w="1549" w:type="dxa"/>
          </w:tcPr>
          <w:p>
            <w:pPr>
              <w:pStyle w:val="TableParagraph"/>
              <w:spacing w:before="37"/>
              <w:ind w:left="19" w:right="11"/>
              <w:jc w:val="center"/>
              <w:rPr>
                <w:sz w:val="21"/>
              </w:rPr>
            </w:pPr>
            <w:r>
              <w:rPr>
                <w:sz w:val="21"/>
              </w:rPr>
              <w:t>地上(层)</w:t>
            </w:r>
          </w:p>
        </w:tc>
        <w:tc>
          <w:tcPr>
            <w:tcW w:w="1830" w:type="dxa"/>
          </w:tcPr>
          <w:p>
            <w:pPr>
              <w:pStyle w:val="TableParagraph"/>
              <w:rPr>
                <w:rFonts w:ascii="Times New Roman"/>
                <w:sz w:val="20"/>
              </w:rPr>
            </w:pPr>
          </w:p>
        </w:tc>
        <w:tc>
          <w:tcPr>
            <w:tcW w:w="1878" w:type="dxa"/>
            <w:gridSpan w:val="2"/>
          </w:tcPr>
          <w:p>
            <w:pPr>
              <w:pStyle w:val="TableParagraph"/>
              <w:spacing w:before="37"/>
              <w:ind w:left="524"/>
              <w:rPr>
                <w:sz w:val="21"/>
              </w:rPr>
            </w:pPr>
            <w:r>
              <w:rPr>
                <w:sz w:val="21"/>
              </w:rPr>
              <w:t>地下(层)</w:t>
            </w:r>
          </w:p>
        </w:tc>
        <w:tc>
          <w:tcPr>
            <w:tcW w:w="1354" w:type="dxa"/>
            <w:gridSpan w:val="2"/>
          </w:tcPr>
          <w:p>
            <w:pPr>
              <w:pStyle w:val="TableParagraph"/>
              <w:rPr>
                <w:rFonts w:ascii="Times New Roman"/>
                <w:sz w:val="20"/>
              </w:rPr>
            </w:pPr>
          </w:p>
        </w:tc>
      </w:tr>
      <w:tr>
        <w:trPr>
          <w:trHeight w:val="350" w:hRule="atLeast"/>
        </w:trPr>
        <w:tc>
          <w:tcPr>
            <w:tcW w:w="1549" w:type="dxa"/>
          </w:tcPr>
          <w:p>
            <w:pPr>
              <w:pStyle w:val="TableParagraph"/>
              <w:spacing w:before="37"/>
              <w:ind w:left="22" w:right="11"/>
              <w:jc w:val="center"/>
              <w:rPr>
                <w:sz w:val="21"/>
              </w:rPr>
            </w:pPr>
            <w:r>
              <w:rPr>
                <w:sz w:val="21"/>
              </w:rPr>
              <w:t>各楼层使用情况</w:t>
            </w:r>
          </w:p>
        </w:tc>
        <w:tc>
          <w:tcPr>
            <w:tcW w:w="5062" w:type="dxa"/>
            <w:gridSpan w:val="5"/>
          </w:tcPr>
          <w:p>
            <w:pPr>
              <w:pStyle w:val="TableParagraph"/>
              <w:rPr>
                <w:rFonts w:ascii="Times New Roman"/>
                <w:sz w:val="20"/>
              </w:rPr>
            </w:pPr>
          </w:p>
        </w:tc>
      </w:tr>
      <w:tr>
        <w:trPr>
          <w:trHeight w:val="239" w:hRule="atLeast"/>
        </w:trPr>
        <w:tc>
          <w:tcPr>
            <w:tcW w:w="1549" w:type="dxa"/>
          </w:tcPr>
          <w:p>
            <w:pPr>
              <w:pStyle w:val="TableParagraph"/>
              <w:spacing w:line="220" w:lineRule="exact"/>
              <w:ind w:left="19" w:right="11"/>
              <w:jc w:val="center"/>
              <w:rPr>
                <w:sz w:val="21"/>
              </w:rPr>
            </w:pPr>
            <w:r>
              <w:rPr>
                <w:sz w:val="21"/>
              </w:rPr>
              <w:t>建筑结构</w:t>
            </w:r>
          </w:p>
        </w:tc>
        <w:tc>
          <w:tcPr>
            <w:tcW w:w="1830" w:type="dxa"/>
          </w:tcPr>
          <w:p>
            <w:pPr>
              <w:pStyle w:val="TableParagraph"/>
              <w:rPr>
                <w:rFonts w:ascii="Times New Roman"/>
                <w:sz w:val="16"/>
              </w:rPr>
            </w:pPr>
          </w:p>
        </w:tc>
        <w:tc>
          <w:tcPr>
            <w:tcW w:w="1878" w:type="dxa"/>
            <w:gridSpan w:val="2"/>
          </w:tcPr>
          <w:p>
            <w:pPr>
              <w:pStyle w:val="TableParagraph"/>
              <w:spacing w:line="220" w:lineRule="exact"/>
              <w:ind w:left="524"/>
              <w:rPr>
                <w:sz w:val="21"/>
              </w:rPr>
            </w:pPr>
            <w:r>
              <w:rPr>
                <w:sz w:val="21"/>
              </w:rPr>
              <w:t>耐火等级</w:t>
            </w:r>
          </w:p>
        </w:tc>
        <w:tc>
          <w:tcPr>
            <w:tcW w:w="1354" w:type="dxa"/>
            <w:gridSpan w:val="2"/>
          </w:tcPr>
          <w:p>
            <w:pPr>
              <w:pStyle w:val="TableParagraph"/>
              <w:rPr>
                <w:rFonts w:ascii="Times New Roman"/>
                <w:sz w:val="16"/>
              </w:rPr>
            </w:pPr>
          </w:p>
        </w:tc>
      </w:tr>
      <w:tr>
        <w:trPr>
          <w:trHeight w:val="720" w:hRule="atLeast"/>
        </w:trPr>
        <w:tc>
          <w:tcPr>
            <w:tcW w:w="1549" w:type="dxa"/>
          </w:tcPr>
          <w:p>
            <w:pPr>
              <w:pStyle w:val="TableParagraph"/>
              <w:spacing w:line="240" w:lineRule="exact"/>
              <w:ind w:left="40" w:right="27"/>
              <w:jc w:val="center"/>
              <w:rPr>
                <w:sz w:val="21"/>
              </w:rPr>
            </w:pPr>
            <w:r>
              <w:rPr>
                <w:sz w:val="21"/>
              </w:rPr>
              <w:t>建筑物内同一时间可容纳最大人数</w:t>
            </w:r>
          </w:p>
        </w:tc>
        <w:tc>
          <w:tcPr>
            <w:tcW w:w="1830" w:type="dxa"/>
          </w:tcPr>
          <w:p>
            <w:pPr>
              <w:pStyle w:val="TableParagraph"/>
              <w:rPr>
                <w:rFonts w:ascii="Times New Roman"/>
                <w:sz w:val="20"/>
              </w:rPr>
            </w:pPr>
          </w:p>
        </w:tc>
        <w:tc>
          <w:tcPr>
            <w:tcW w:w="1878" w:type="dxa"/>
            <w:gridSpan w:val="2"/>
          </w:tcPr>
          <w:p>
            <w:pPr>
              <w:pStyle w:val="TableParagraph"/>
              <w:spacing w:before="4"/>
              <w:rPr>
                <w:rFonts w:ascii="黑体"/>
                <w:sz w:val="17"/>
              </w:rPr>
            </w:pPr>
          </w:p>
          <w:p>
            <w:pPr>
              <w:pStyle w:val="TableParagraph"/>
              <w:ind w:left="104"/>
              <w:rPr>
                <w:sz w:val="21"/>
              </w:rPr>
            </w:pPr>
            <w:r>
              <w:rPr>
                <w:sz w:val="21"/>
              </w:rPr>
              <w:t>防火卷帘数量(扇)</w:t>
            </w:r>
          </w:p>
        </w:tc>
        <w:tc>
          <w:tcPr>
            <w:tcW w:w="1354" w:type="dxa"/>
            <w:gridSpan w:val="2"/>
          </w:tcPr>
          <w:p>
            <w:pPr>
              <w:pStyle w:val="TableParagraph"/>
              <w:rPr>
                <w:rFonts w:ascii="Times New Roman"/>
                <w:sz w:val="20"/>
              </w:rPr>
            </w:pPr>
          </w:p>
        </w:tc>
      </w:tr>
      <w:tr>
        <w:trPr>
          <w:trHeight w:val="479" w:hRule="atLeast"/>
        </w:trPr>
        <w:tc>
          <w:tcPr>
            <w:tcW w:w="1549" w:type="dxa"/>
          </w:tcPr>
          <w:p>
            <w:pPr>
              <w:pStyle w:val="TableParagraph"/>
              <w:spacing w:before="102"/>
              <w:ind w:left="22" w:right="11"/>
              <w:jc w:val="center"/>
              <w:rPr>
                <w:sz w:val="21"/>
              </w:rPr>
            </w:pPr>
            <w:r>
              <w:rPr>
                <w:sz w:val="21"/>
              </w:rPr>
              <w:t>消防电梯数量</w:t>
            </w:r>
          </w:p>
        </w:tc>
        <w:tc>
          <w:tcPr>
            <w:tcW w:w="1830" w:type="dxa"/>
          </w:tcPr>
          <w:p>
            <w:pPr>
              <w:pStyle w:val="TableParagraph"/>
              <w:rPr>
                <w:rFonts w:ascii="Times New Roman"/>
                <w:sz w:val="20"/>
              </w:rPr>
            </w:pPr>
          </w:p>
        </w:tc>
        <w:tc>
          <w:tcPr>
            <w:tcW w:w="1878" w:type="dxa"/>
            <w:gridSpan w:val="2"/>
          </w:tcPr>
          <w:p>
            <w:pPr>
              <w:pStyle w:val="TableParagraph"/>
              <w:spacing w:line="240" w:lineRule="exact"/>
              <w:ind w:left="524" w:right="295" w:hanging="212"/>
              <w:rPr>
                <w:sz w:val="21"/>
              </w:rPr>
            </w:pPr>
            <w:r>
              <w:rPr>
                <w:sz w:val="21"/>
              </w:rPr>
              <w:t>消防电梯分别所在位置</w:t>
            </w:r>
          </w:p>
        </w:tc>
        <w:tc>
          <w:tcPr>
            <w:tcW w:w="1354" w:type="dxa"/>
            <w:gridSpan w:val="2"/>
          </w:tcPr>
          <w:p>
            <w:pPr>
              <w:pStyle w:val="TableParagraph"/>
              <w:rPr>
                <w:rFonts w:ascii="Times New Roman"/>
                <w:sz w:val="20"/>
              </w:rPr>
            </w:pPr>
          </w:p>
        </w:tc>
      </w:tr>
      <w:tr>
        <w:trPr>
          <w:trHeight w:val="525" w:hRule="atLeast"/>
        </w:trPr>
        <w:tc>
          <w:tcPr>
            <w:tcW w:w="1549" w:type="dxa"/>
          </w:tcPr>
          <w:p>
            <w:pPr>
              <w:pStyle w:val="TableParagraph"/>
              <w:spacing w:before="123"/>
              <w:ind w:left="19" w:right="11"/>
              <w:jc w:val="center"/>
              <w:rPr>
                <w:sz w:val="21"/>
              </w:rPr>
            </w:pPr>
            <w:r>
              <w:rPr>
                <w:sz w:val="21"/>
              </w:rPr>
              <w:t>防火门类型</w:t>
            </w:r>
          </w:p>
        </w:tc>
        <w:tc>
          <w:tcPr>
            <w:tcW w:w="1830" w:type="dxa"/>
          </w:tcPr>
          <w:p>
            <w:pPr>
              <w:pStyle w:val="TableParagraph"/>
              <w:spacing w:before="123"/>
              <w:ind w:left="42" w:right="25"/>
              <w:jc w:val="center"/>
              <w:rPr>
                <w:sz w:val="21"/>
              </w:rPr>
            </w:pPr>
            <w:r>
              <w:rPr>
                <w:sz w:val="21"/>
              </w:rPr>
              <w:t>(甲级防火门)</w:t>
            </w:r>
          </w:p>
        </w:tc>
        <w:tc>
          <w:tcPr>
            <w:tcW w:w="1878" w:type="dxa"/>
            <w:gridSpan w:val="2"/>
          </w:tcPr>
          <w:p>
            <w:pPr>
              <w:pStyle w:val="TableParagraph"/>
              <w:spacing w:before="123"/>
              <w:ind w:left="313"/>
              <w:rPr>
                <w:sz w:val="21"/>
              </w:rPr>
            </w:pPr>
            <w:r>
              <w:rPr>
                <w:sz w:val="21"/>
              </w:rPr>
              <w:t>(乙级防火门)</w:t>
            </w:r>
          </w:p>
        </w:tc>
        <w:tc>
          <w:tcPr>
            <w:tcW w:w="1354" w:type="dxa"/>
            <w:gridSpan w:val="2"/>
          </w:tcPr>
          <w:p>
            <w:pPr>
              <w:pStyle w:val="TableParagraph"/>
              <w:spacing w:before="123"/>
              <w:ind w:left="43"/>
              <w:rPr>
                <w:sz w:val="21"/>
              </w:rPr>
            </w:pPr>
            <w:r>
              <w:rPr>
                <w:sz w:val="21"/>
              </w:rPr>
              <w:t>(丙级防火门)</w:t>
            </w:r>
          </w:p>
        </w:tc>
      </w:tr>
      <w:tr>
        <w:trPr>
          <w:trHeight w:val="239" w:hRule="atLeast"/>
        </w:trPr>
        <w:tc>
          <w:tcPr>
            <w:tcW w:w="1549" w:type="dxa"/>
          </w:tcPr>
          <w:p>
            <w:pPr>
              <w:pStyle w:val="TableParagraph"/>
              <w:spacing w:line="220" w:lineRule="exact"/>
              <w:ind w:left="22" w:right="11"/>
              <w:jc w:val="center"/>
              <w:rPr>
                <w:sz w:val="21"/>
              </w:rPr>
            </w:pPr>
            <w:r>
              <w:rPr>
                <w:sz w:val="21"/>
              </w:rPr>
              <w:t>防火门数量(扇)</w:t>
            </w:r>
          </w:p>
        </w:tc>
        <w:tc>
          <w:tcPr>
            <w:tcW w:w="1830" w:type="dxa"/>
          </w:tcPr>
          <w:p>
            <w:pPr>
              <w:pStyle w:val="TableParagraph"/>
              <w:rPr>
                <w:rFonts w:ascii="Times New Roman"/>
                <w:sz w:val="16"/>
              </w:rPr>
            </w:pPr>
          </w:p>
        </w:tc>
        <w:tc>
          <w:tcPr>
            <w:tcW w:w="1878" w:type="dxa"/>
            <w:gridSpan w:val="2"/>
          </w:tcPr>
          <w:p>
            <w:pPr>
              <w:pStyle w:val="TableParagraph"/>
              <w:rPr>
                <w:rFonts w:ascii="Times New Roman"/>
                <w:sz w:val="16"/>
              </w:rPr>
            </w:pPr>
          </w:p>
        </w:tc>
        <w:tc>
          <w:tcPr>
            <w:tcW w:w="1354" w:type="dxa"/>
            <w:gridSpan w:val="2"/>
          </w:tcPr>
          <w:p>
            <w:pPr>
              <w:pStyle w:val="TableParagraph"/>
              <w:rPr>
                <w:rFonts w:ascii="Times New Roman"/>
                <w:sz w:val="16"/>
              </w:rPr>
            </w:pPr>
          </w:p>
        </w:tc>
      </w:tr>
      <w:tr>
        <w:trPr>
          <w:trHeight w:val="479" w:hRule="atLeast"/>
        </w:trPr>
        <w:tc>
          <w:tcPr>
            <w:tcW w:w="1549" w:type="dxa"/>
          </w:tcPr>
          <w:p>
            <w:pPr>
              <w:pStyle w:val="TableParagraph"/>
              <w:spacing w:line="240" w:lineRule="exact"/>
              <w:ind w:left="355" w:right="238" w:hanging="106"/>
              <w:rPr>
                <w:sz w:val="21"/>
              </w:rPr>
            </w:pPr>
            <w:r>
              <w:rPr>
                <w:sz w:val="21"/>
              </w:rPr>
              <w:t>是否有消防设施系统</w:t>
            </w:r>
          </w:p>
        </w:tc>
        <w:tc>
          <w:tcPr>
            <w:tcW w:w="5062" w:type="dxa"/>
            <w:gridSpan w:val="5"/>
          </w:tcPr>
          <w:p>
            <w:pPr>
              <w:pStyle w:val="TableParagraph"/>
              <w:spacing w:before="102"/>
              <w:ind w:left="2090" w:right="2086"/>
              <w:jc w:val="center"/>
              <w:rPr>
                <w:sz w:val="21"/>
              </w:rPr>
            </w:pPr>
            <w:r>
              <w:rPr>
                <w:sz w:val="21"/>
              </w:rPr>
              <w:t>(有)(无)</w:t>
            </w:r>
          </w:p>
        </w:tc>
      </w:tr>
      <w:tr>
        <w:trPr>
          <w:trHeight w:val="319" w:hRule="atLeast"/>
        </w:trPr>
        <w:tc>
          <w:tcPr>
            <w:tcW w:w="1549" w:type="dxa"/>
            <w:vMerge w:val="restart"/>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15"/>
              </w:rPr>
            </w:pPr>
          </w:p>
          <w:p>
            <w:pPr>
              <w:pStyle w:val="TableParagraph"/>
              <w:spacing w:line="213" w:lineRule="auto"/>
              <w:ind w:left="669" w:right="27" w:hanging="629"/>
              <w:rPr>
                <w:sz w:val="21"/>
              </w:rPr>
            </w:pPr>
            <w:r>
              <w:rPr>
                <w:sz w:val="21"/>
              </w:rPr>
              <w:t>消防设施具体情况</w:t>
            </w:r>
          </w:p>
        </w:tc>
        <w:tc>
          <w:tcPr>
            <w:tcW w:w="1830" w:type="dxa"/>
          </w:tcPr>
          <w:p>
            <w:pPr>
              <w:pStyle w:val="TableParagraph"/>
              <w:spacing w:before="22"/>
              <w:ind w:left="10" w:right="34"/>
              <w:jc w:val="center"/>
              <w:rPr>
                <w:sz w:val="21"/>
              </w:rPr>
            </w:pPr>
            <w:r>
              <w:rPr>
                <w:sz w:val="21"/>
              </w:rPr>
              <w:t>类型</w:t>
            </w:r>
          </w:p>
        </w:tc>
        <w:tc>
          <w:tcPr>
            <w:tcW w:w="1030" w:type="dxa"/>
          </w:tcPr>
          <w:p>
            <w:pPr>
              <w:pStyle w:val="TableParagraph"/>
              <w:spacing w:before="22"/>
              <w:ind w:left="77"/>
              <w:rPr>
                <w:sz w:val="21"/>
              </w:rPr>
            </w:pPr>
            <w:r>
              <w:rPr>
                <w:sz w:val="21"/>
              </w:rPr>
              <w:t>是否设置</w:t>
            </w:r>
          </w:p>
        </w:tc>
        <w:tc>
          <w:tcPr>
            <w:tcW w:w="1059" w:type="dxa"/>
            <w:gridSpan w:val="2"/>
          </w:tcPr>
          <w:p>
            <w:pPr>
              <w:pStyle w:val="TableParagraph"/>
              <w:spacing w:before="22"/>
              <w:ind w:left="106"/>
              <w:rPr>
                <w:sz w:val="21"/>
              </w:rPr>
            </w:pPr>
            <w:r>
              <w:rPr>
                <w:sz w:val="21"/>
              </w:rPr>
              <w:t>是否独立</w:t>
            </w:r>
          </w:p>
        </w:tc>
        <w:tc>
          <w:tcPr>
            <w:tcW w:w="1143" w:type="dxa"/>
          </w:tcPr>
          <w:p>
            <w:pPr>
              <w:pStyle w:val="TableParagraph"/>
              <w:spacing w:before="22"/>
              <w:ind w:left="255"/>
              <w:rPr>
                <w:sz w:val="21"/>
              </w:rPr>
            </w:pPr>
            <w:r>
              <w:rPr>
                <w:sz w:val="21"/>
              </w:rPr>
              <w:t>从属于</w:t>
            </w:r>
          </w:p>
        </w:tc>
      </w:tr>
      <w:tr>
        <w:trPr>
          <w:trHeight w:val="316" w:hRule="atLeast"/>
        </w:trPr>
        <w:tc>
          <w:tcPr>
            <w:tcW w:w="1549" w:type="dxa"/>
            <w:vMerge/>
            <w:tcBorders>
              <w:top w:val="nil"/>
            </w:tcBorders>
          </w:tcPr>
          <w:p>
            <w:pPr>
              <w:rPr>
                <w:sz w:val="2"/>
                <w:szCs w:val="2"/>
              </w:rPr>
            </w:pPr>
          </w:p>
        </w:tc>
        <w:tc>
          <w:tcPr>
            <w:tcW w:w="1830" w:type="dxa"/>
          </w:tcPr>
          <w:p>
            <w:pPr>
              <w:pStyle w:val="TableParagraph"/>
              <w:spacing w:before="20"/>
              <w:ind w:left="13" w:right="34"/>
              <w:jc w:val="center"/>
              <w:rPr>
                <w:sz w:val="21"/>
              </w:rPr>
            </w:pPr>
            <w:r>
              <w:rPr>
                <w:spacing w:val="-17"/>
                <w:sz w:val="21"/>
              </w:rPr>
              <w:t>室内消火栓给水系统</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8" w:hRule="atLeast"/>
        </w:trPr>
        <w:tc>
          <w:tcPr>
            <w:tcW w:w="1549" w:type="dxa"/>
            <w:vMerge/>
            <w:tcBorders>
              <w:top w:val="nil"/>
            </w:tcBorders>
          </w:tcPr>
          <w:p>
            <w:pPr>
              <w:rPr>
                <w:sz w:val="2"/>
                <w:szCs w:val="2"/>
              </w:rPr>
            </w:pPr>
          </w:p>
        </w:tc>
        <w:tc>
          <w:tcPr>
            <w:tcW w:w="1830" w:type="dxa"/>
          </w:tcPr>
          <w:p>
            <w:pPr>
              <w:pStyle w:val="TableParagraph"/>
              <w:spacing w:before="22"/>
              <w:ind w:left="13" w:right="34"/>
              <w:jc w:val="center"/>
              <w:rPr>
                <w:sz w:val="21"/>
              </w:rPr>
            </w:pPr>
            <w:r>
              <w:rPr>
                <w:sz w:val="21"/>
              </w:rPr>
              <w:t>火灾自动报警系统</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9" w:hRule="atLeast"/>
        </w:trPr>
        <w:tc>
          <w:tcPr>
            <w:tcW w:w="1549" w:type="dxa"/>
            <w:vMerge/>
            <w:tcBorders>
              <w:top w:val="nil"/>
            </w:tcBorders>
          </w:tcPr>
          <w:p>
            <w:pPr>
              <w:rPr>
                <w:sz w:val="2"/>
                <w:szCs w:val="2"/>
              </w:rPr>
            </w:pPr>
          </w:p>
        </w:tc>
        <w:tc>
          <w:tcPr>
            <w:tcW w:w="1830" w:type="dxa"/>
          </w:tcPr>
          <w:p>
            <w:pPr>
              <w:pStyle w:val="TableParagraph"/>
              <w:spacing w:before="20"/>
              <w:ind w:left="13" w:right="34"/>
              <w:jc w:val="center"/>
              <w:rPr>
                <w:sz w:val="21"/>
              </w:rPr>
            </w:pPr>
            <w:r>
              <w:rPr>
                <w:sz w:val="21"/>
              </w:rPr>
              <w:t>自动喷水灭火系统</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6" w:hRule="atLeast"/>
        </w:trPr>
        <w:tc>
          <w:tcPr>
            <w:tcW w:w="1549" w:type="dxa"/>
            <w:vMerge/>
            <w:tcBorders>
              <w:top w:val="nil"/>
            </w:tcBorders>
          </w:tcPr>
          <w:p>
            <w:pPr>
              <w:rPr>
                <w:sz w:val="2"/>
                <w:szCs w:val="2"/>
              </w:rPr>
            </w:pPr>
          </w:p>
        </w:tc>
        <w:tc>
          <w:tcPr>
            <w:tcW w:w="1830" w:type="dxa"/>
          </w:tcPr>
          <w:p>
            <w:pPr>
              <w:pStyle w:val="TableParagraph"/>
              <w:spacing w:before="20"/>
              <w:ind w:left="13" w:right="34"/>
              <w:jc w:val="center"/>
              <w:rPr>
                <w:sz w:val="21"/>
              </w:rPr>
            </w:pPr>
            <w:r>
              <w:rPr>
                <w:sz w:val="21"/>
              </w:rPr>
              <w:t>防烟设施</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9" w:hRule="atLeast"/>
        </w:trPr>
        <w:tc>
          <w:tcPr>
            <w:tcW w:w="1549" w:type="dxa"/>
            <w:vMerge/>
            <w:tcBorders>
              <w:top w:val="nil"/>
            </w:tcBorders>
          </w:tcPr>
          <w:p>
            <w:pPr>
              <w:rPr>
                <w:sz w:val="2"/>
                <w:szCs w:val="2"/>
              </w:rPr>
            </w:pPr>
          </w:p>
        </w:tc>
        <w:tc>
          <w:tcPr>
            <w:tcW w:w="1830" w:type="dxa"/>
          </w:tcPr>
          <w:p>
            <w:pPr>
              <w:pStyle w:val="TableParagraph"/>
              <w:spacing w:before="20"/>
              <w:ind w:left="13" w:right="34"/>
              <w:jc w:val="center"/>
              <w:rPr>
                <w:sz w:val="21"/>
              </w:rPr>
            </w:pPr>
            <w:r>
              <w:rPr>
                <w:sz w:val="21"/>
              </w:rPr>
              <w:t>排烟设施</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6" w:hRule="atLeast"/>
        </w:trPr>
        <w:tc>
          <w:tcPr>
            <w:tcW w:w="1549" w:type="dxa"/>
            <w:vMerge/>
            <w:tcBorders>
              <w:top w:val="nil"/>
            </w:tcBorders>
          </w:tcPr>
          <w:p>
            <w:pPr>
              <w:rPr>
                <w:sz w:val="2"/>
                <w:szCs w:val="2"/>
              </w:rPr>
            </w:pPr>
          </w:p>
        </w:tc>
        <w:tc>
          <w:tcPr>
            <w:tcW w:w="1830" w:type="dxa"/>
          </w:tcPr>
          <w:p>
            <w:pPr>
              <w:pStyle w:val="TableParagraph"/>
              <w:spacing w:before="20"/>
              <w:ind w:left="13" w:right="34"/>
              <w:jc w:val="center"/>
              <w:rPr>
                <w:sz w:val="21"/>
              </w:rPr>
            </w:pPr>
            <w:r>
              <w:rPr>
                <w:sz w:val="21"/>
              </w:rPr>
              <w:t>气体自动灭火系统</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9" w:hRule="atLeast"/>
        </w:trPr>
        <w:tc>
          <w:tcPr>
            <w:tcW w:w="1549" w:type="dxa"/>
            <w:vMerge/>
            <w:tcBorders>
              <w:top w:val="nil"/>
            </w:tcBorders>
          </w:tcPr>
          <w:p>
            <w:pPr>
              <w:rPr>
                <w:sz w:val="2"/>
                <w:szCs w:val="2"/>
              </w:rPr>
            </w:pPr>
          </w:p>
        </w:tc>
        <w:tc>
          <w:tcPr>
            <w:tcW w:w="1830" w:type="dxa"/>
          </w:tcPr>
          <w:p>
            <w:pPr>
              <w:pStyle w:val="TableParagraph"/>
              <w:spacing w:before="22"/>
              <w:ind w:left="10" w:right="34"/>
              <w:jc w:val="center"/>
              <w:rPr>
                <w:sz w:val="21"/>
              </w:rPr>
            </w:pPr>
            <w:r>
              <w:rPr>
                <w:sz w:val="21"/>
              </w:rPr>
              <w:t>泡沫灭火系统</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316" w:hRule="atLeast"/>
        </w:trPr>
        <w:tc>
          <w:tcPr>
            <w:tcW w:w="1549" w:type="dxa"/>
            <w:vMerge/>
            <w:tcBorders>
              <w:top w:val="nil"/>
            </w:tcBorders>
          </w:tcPr>
          <w:p>
            <w:pPr>
              <w:rPr>
                <w:sz w:val="2"/>
                <w:szCs w:val="2"/>
              </w:rPr>
            </w:pPr>
          </w:p>
        </w:tc>
        <w:tc>
          <w:tcPr>
            <w:tcW w:w="1830" w:type="dxa"/>
          </w:tcPr>
          <w:p>
            <w:pPr>
              <w:pStyle w:val="TableParagraph"/>
              <w:spacing w:before="20"/>
              <w:ind w:left="13" w:right="34"/>
              <w:jc w:val="center"/>
              <w:rPr>
                <w:sz w:val="21"/>
              </w:rPr>
            </w:pPr>
            <w:r>
              <w:rPr>
                <w:sz w:val="21"/>
              </w:rPr>
              <w:t>其他系统</w:t>
            </w:r>
          </w:p>
        </w:tc>
        <w:tc>
          <w:tcPr>
            <w:tcW w:w="1030" w:type="dxa"/>
          </w:tcPr>
          <w:p>
            <w:pPr>
              <w:pStyle w:val="TableParagraph"/>
              <w:rPr>
                <w:rFonts w:ascii="Times New Roman"/>
                <w:sz w:val="20"/>
              </w:rPr>
            </w:pPr>
          </w:p>
        </w:tc>
        <w:tc>
          <w:tcPr>
            <w:tcW w:w="1059" w:type="dxa"/>
            <w:gridSpan w:val="2"/>
          </w:tcPr>
          <w:p>
            <w:pPr>
              <w:pStyle w:val="TableParagraph"/>
              <w:rPr>
                <w:rFonts w:ascii="Times New Roman"/>
                <w:sz w:val="20"/>
              </w:rPr>
            </w:pPr>
          </w:p>
        </w:tc>
        <w:tc>
          <w:tcPr>
            <w:tcW w:w="1143" w:type="dxa"/>
          </w:tcPr>
          <w:p>
            <w:pPr>
              <w:pStyle w:val="TableParagraph"/>
              <w:rPr>
                <w:rFonts w:ascii="Times New Roman"/>
                <w:sz w:val="20"/>
              </w:rPr>
            </w:pPr>
          </w:p>
        </w:tc>
      </w:tr>
      <w:tr>
        <w:trPr>
          <w:trHeight w:val="1274" w:hRule="atLeast"/>
        </w:trPr>
        <w:tc>
          <w:tcPr>
            <w:tcW w:w="1549" w:type="dxa"/>
          </w:tcPr>
          <w:p>
            <w:pPr>
              <w:pStyle w:val="TableParagraph"/>
              <w:rPr>
                <w:rFonts w:ascii="黑体"/>
                <w:sz w:val="20"/>
              </w:rPr>
            </w:pPr>
          </w:p>
          <w:p>
            <w:pPr>
              <w:pStyle w:val="TableParagraph"/>
              <w:spacing w:line="213" w:lineRule="auto" w:before="147"/>
              <w:ind w:left="460" w:right="27" w:hanging="420"/>
              <w:rPr>
                <w:sz w:val="21"/>
              </w:rPr>
            </w:pPr>
            <w:r>
              <w:rPr>
                <w:sz w:val="21"/>
              </w:rPr>
              <w:t>毗邻建筑的性质及情况</w:t>
            </w:r>
          </w:p>
        </w:tc>
        <w:tc>
          <w:tcPr>
            <w:tcW w:w="5062" w:type="dxa"/>
            <w:gridSpan w:val="5"/>
          </w:tcPr>
          <w:p>
            <w:pPr>
              <w:pStyle w:val="TableParagraph"/>
              <w:rPr>
                <w:rFonts w:ascii="Times New Roman"/>
                <w:sz w:val="20"/>
              </w:rPr>
            </w:pPr>
          </w:p>
        </w:tc>
      </w:tr>
    </w:tbl>
    <w:p>
      <w:pPr>
        <w:spacing w:after="0"/>
        <w:rPr>
          <w:rFonts w:ascii="Times New Roman"/>
          <w:sz w:val="20"/>
        </w:rPr>
        <w:sectPr>
          <w:pgSz w:w="8400" w:h="11910"/>
          <w:pgMar w:header="0" w:footer="875" w:top="1100" w:bottom="1060" w:left="700" w:right="560"/>
        </w:sectPr>
      </w:pPr>
    </w:p>
    <w:p>
      <w:pPr>
        <w:spacing w:line="242" w:lineRule="auto" w:before="29"/>
        <w:ind w:left="1544" w:right="1686" w:firstLine="0"/>
        <w:jc w:val="center"/>
        <w:rPr>
          <w:rFonts w:ascii="黑体" w:eastAsia="黑体" w:hint="eastAsia"/>
          <w:sz w:val="30"/>
        </w:rPr>
      </w:pPr>
      <w:r>
        <w:rPr>
          <w:rFonts w:ascii="黑体" w:eastAsia="黑体" w:hint="eastAsia"/>
          <w:sz w:val="30"/>
        </w:rPr>
        <w:t>消防设施及灭火器材基本情况室外消防给水</w:t>
      </w:r>
    </w:p>
    <w:tbl>
      <w:tblPr>
        <w:tblW w:w="0" w:type="auto"/>
        <w:jc w:val="left"/>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38"/>
        <w:gridCol w:w="1327"/>
        <w:gridCol w:w="1085"/>
        <w:gridCol w:w="1471"/>
      </w:tblGrid>
      <w:tr>
        <w:trPr>
          <w:trHeight w:val="537" w:hRule="atLeast"/>
        </w:trPr>
        <w:tc>
          <w:tcPr>
            <w:tcW w:w="2638" w:type="dxa"/>
          </w:tcPr>
          <w:p>
            <w:pPr>
              <w:pStyle w:val="TableParagraph"/>
              <w:spacing w:before="166"/>
              <w:ind w:left="356" w:right="347"/>
              <w:jc w:val="center"/>
              <w:rPr>
                <w:sz w:val="21"/>
              </w:rPr>
            </w:pPr>
            <w:r>
              <w:rPr>
                <w:sz w:val="21"/>
              </w:rPr>
              <w:t>市政给水管数量(条)</w:t>
            </w:r>
          </w:p>
        </w:tc>
        <w:tc>
          <w:tcPr>
            <w:tcW w:w="3883" w:type="dxa"/>
            <w:gridSpan w:val="3"/>
          </w:tcPr>
          <w:p>
            <w:pPr>
              <w:pStyle w:val="TableParagraph"/>
              <w:rPr>
                <w:rFonts w:ascii="Times New Roman"/>
                <w:sz w:val="22"/>
              </w:rPr>
            </w:pPr>
          </w:p>
        </w:tc>
      </w:tr>
      <w:tr>
        <w:trPr>
          <w:trHeight w:val="535" w:hRule="atLeast"/>
        </w:trPr>
        <w:tc>
          <w:tcPr>
            <w:tcW w:w="2638" w:type="dxa"/>
          </w:tcPr>
          <w:p>
            <w:pPr>
              <w:pStyle w:val="TableParagraph"/>
              <w:spacing w:before="164"/>
              <w:ind w:left="356" w:right="347"/>
              <w:jc w:val="center"/>
              <w:rPr>
                <w:sz w:val="21"/>
              </w:rPr>
            </w:pPr>
            <w:r>
              <w:rPr>
                <w:sz w:val="21"/>
              </w:rPr>
              <w:t>市政给水管管径(mm)</w:t>
            </w:r>
          </w:p>
        </w:tc>
        <w:tc>
          <w:tcPr>
            <w:tcW w:w="3883" w:type="dxa"/>
            <w:gridSpan w:val="3"/>
          </w:tcPr>
          <w:p>
            <w:pPr>
              <w:pStyle w:val="TableParagraph"/>
              <w:rPr>
                <w:rFonts w:ascii="Times New Roman"/>
                <w:sz w:val="22"/>
              </w:rPr>
            </w:pPr>
          </w:p>
        </w:tc>
      </w:tr>
      <w:tr>
        <w:trPr>
          <w:trHeight w:val="535" w:hRule="atLeast"/>
        </w:trPr>
        <w:tc>
          <w:tcPr>
            <w:tcW w:w="2638" w:type="dxa"/>
          </w:tcPr>
          <w:p>
            <w:pPr>
              <w:pStyle w:val="TableParagraph"/>
              <w:spacing w:before="156"/>
              <w:ind w:left="356" w:right="344"/>
              <w:jc w:val="center"/>
              <w:rPr>
                <w:sz w:val="21"/>
              </w:rPr>
            </w:pPr>
            <w:r>
              <w:rPr>
                <w:sz w:val="21"/>
              </w:rPr>
              <w:t>室外水池容量(m</w:t>
            </w:r>
            <w:r>
              <w:rPr>
                <w:position w:val="11"/>
                <w:sz w:val="11"/>
              </w:rPr>
              <w:t>3</w:t>
            </w:r>
            <w:r>
              <w:rPr>
                <w:sz w:val="21"/>
              </w:rPr>
              <w:t>)</w:t>
            </w:r>
          </w:p>
        </w:tc>
        <w:tc>
          <w:tcPr>
            <w:tcW w:w="3883" w:type="dxa"/>
            <w:gridSpan w:val="3"/>
          </w:tcPr>
          <w:p>
            <w:pPr>
              <w:pStyle w:val="TableParagraph"/>
              <w:rPr>
                <w:rFonts w:ascii="Times New Roman"/>
                <w:sz w:val="22"/>
              </w:rPr>
            </w:pPr>
          </w:p>
        </w:tc>
      </w:tr>
      <w:tr>
        <w:trPr>
          <w:trHeight w:val="537" w:hRule="atLeast"/>
        </w:trPr>
        <w:tc>
          <w:tcPr>
            <w:tcW w:w="2638" w:type="dxa"/>
          </w:tcPr>
          <w:p>
            <w:pPr>
              <w:pStyle w:val="TableParagraph"/>
              <w:spacing w:before="166"/>
              <w:ind w:left="356" w:right="347"/>
              <w:jc w:val="center"/>
              <w:rPr>
                <w:sz w:val="21"/>
              </w:rPr>
            </w:pPr>
            <w:r>
              <w:rPr>
                <w:sz w:val="21"/>
              </w:rPr>
              <w:t>室外环网管径(mm)</w:t>
            </w:r>
          </w:p>
        </w:tc>
        <w:tc>
          <w:tcPr>
            <w:tcW w:w="3883" w:type="dxa"/>
            <w:gridSpan w:val="3"/>
          </w:tcPr>
          <w:p>
            <w:pPr>
              <w:pStyle w:val="TableParagraph"/>
              <w:rPr>
                <w:rFonts w:ascii="Times New Roman"/>
                <w:sz w:val="22"/>
              </w:rPr>
            </w:pPr>
          </w:p>
        </w:tc>
      </w:tr>
      <w:tr>
        <w:trPr>
          <w:trHeight w:val="535" w:hRule="atLeast"/>
        </w:trPr>
        <w:tc>
          <w:tcPr>
            <w:tcW w:w="2638" w:type="dxa"/>
          </w:tcPr>
          <w:p>
            <w:pPr>
              <w:pStyle w:val="TableParagraph"/>
              <w:spacing w:before="166"/>
              <w:ind w:left="356" w:right="347"/>
              <w:jc w:val="center"/>
              <w:rPr>
                <w:sz w:val="21"/>
              </w:rPr>
            </w:pPr>
            <w:r>
              <w:rPr>
                <w:sz w:val="21"/>
              </w:rPr>
              <w:t>室外消火栓数量(个)</w:t>
            </w:r>
          </w:p>
        </w:tc>
        <w:tc>
          <w:tcPr>
            <w:tcW w:w="3883" w:type="dxa"/>
            <w:gridSpan w:val="3"/>
          </w:tcPr>
          <w:p>
            <w:pPr>
              <w:pStyle w:val="TableParagraph"/>
              <w:rPr>
                <w:rFonts w:ascii="Times New Roman"/>
                <w:sz w:val="22"/>
              </w:rPr>
            </w:pPr>
          </w:p>
        </w:tc>
      </w:tr>
      <w:tr>
        <w:trPr>
          <w:trHeight w:val="537" w:hRule="atLeast"/>
        </w:trPr>
        <w:tc>
          <w:tcPr>
            <w:tcW w:w="2638" w:type="dxa"/>
          </w:tcPr>
          <w:p>
            <w:pPr>
              <w:pStyle w:val="TableParagraph"/>
              <w:spacing w:before="166"/>
              <w:ind w:left="356" w:right="345"/>
              <w:jc w:val="center"/>
              <w:rPr>
                <w:sz w:val="21"/>
              </w:rPr>
            </w:pPr>
            <w:r>
              <w:rPr>
                <w:sz w:val="21"/>
              </w:rPr>
              <w:t>管网供水状态</w:t>
            </w:r>
          </w:p>
        </w:tc>
        <w:tc>
          <w:tcPr>
            <w:tcW w:w="3883" w:type="dxa"/>
            <w:gridSpan w:val="3"/>
          </w:tcPr>
          <w:p>
            <w:pPr>
              <w:pStyle w:val="TableParagraph"/>
              <w:spacing w:before="166"/>
              <w:ind w:left="578"/>
              <w:rPr>
                <w:sz w:val="21"/>
              </w:rPr>
            </w:pPr>
            <w:r>
              <w:rPr>
                <w:sz w:val="21"/>
              </w:rPr>
              <w:t>(正常) (不正常) (不能供水)</w:t>
            </w:r>
          </w:p>
        </w:tc>
      </w:tr>
      <w:tr>
        <w:trPr>
          <w:trHeight w:val="719" w:hRule="atLeast"/>
        </w:trPr>
        <w:tc>
          <w:tcPr>
            <w:tcW w:w="2638" w:type="dxa"/>
          </w:tcPr>
          <w:p>
            <w:pPr>
              <w:pStyle w:val="TableParagraph"/>
              <w:spacing w:line="360" w:lineRule="exact"/>
              <w:ind w:left="1005" w:right="151" w:hanging="840"/>
              <w:rPr>
                <w:sz w:val="21"/>
              </w:rPr>
            </w:pPr>
            <w:r>
              <w:rPr>
                <w:sz w:val="21"/>
              </w:rPr>
              <w:t>可供消防车取水的天然水源情况</w:t>
            </w:r>
          </w:p>
        </w:tc>
        <w:tc>
          <w:tcPr>
            <w:tcW w:w="3883" w:type="dxa"/>
            <w:gridSpan w:val="3"/>
          </w:tcPr>
          <w:p>
            <w:pPr>
              <w:pStyle w:val="TableParagraph"/>
              <w:rPr>
                <w:rFonts w:ascii="Times New Roman"/>
                <w:sz w:val="22"/>
              </w:rPr>
            </w:pPr>
          </w:p>
        </w:tc>
      </w:tr>
      <w:tr>
        <w:trPr>
          <w:trHeight w:val="779" w:hRule="atLeast"/>
        </w:trPr>
        <w:tc>
          <w:tcPr>
            <w:tcW w:w="2638" w:type="dxa"/>
          </w:tcPr>
          <w:p>
            <w:pPr>
              <w:pStyle w:val="TableParagraph"/>
              <w:spacing w:before="4"/>
              <w:rPr>
                <w:rFonts w:ascii="黑体"/>
                <w:sz w:val="22"/>
              </w:rPr>
            </w:pPr>
          </w:p>
          <w:p>
            <w:pPr>
              <w:pStyle w:val="TableParagraph"/>
              <w:ind w:left="356" w:right="347"/>
              <w:jc w:val="center"/>
              <w:rPr>
                <w:sz w:val="21"/>
              </w:rPr>
            </w:pPr>
            <w:r>
              <w:rPr>
                <w:sz w:val="21"/>
              </w:rPr>
              <w:t>责任部门</w:t>
            </w:r>
          </w:p>
        </w:tc>
        <w:tc>
          <w:tcPr>
            <w:tcW w:w="1327" w:type="dxa"/>
          </w:tcPr>
          <w:p>
            <w:pPr>
              <w:pStyle w:val="TableParagraph"/>
              <w:rPr>
                <w:rFonts w:ascii="Times New Roman"/>
                <w:sz w:val="22"/>
              </w:rPr>
            </w:pPr>
          </w:p>
        </w:tc>
        <w:tc>
          <w:tcPr>
            <w:tcW w:w="1085" w:type="dxa"/>
          </w:tcPr>
          <w:p>
            <w:pPr>
              <w:pStyle w:val="TableParagraph"/>
              <w:spacing w:before="4"/>
              <w:rPr>
                <w:rFonts w:ascii="黑体"/>
                <w:sz w:val="22"/>
              </w:rPr>
            </w:pPr>
          </w:p>
          <w:p>
            <w:pPr>
              <w:pStyle w:val="TableParagraph"/>
              <w:ind w:left="228"/>
              <w:rPr>
                <w:sz w:val="21"/>
              </w:rPr>
            </w:pPr>
            <w:r>
              <w:rPr>
                <w:sz w:val="21"/>
              </w:rPr>
              <w:t>责任人</w:t>
            </w:r>
          </w:p>
        </w:tc>
        <w:tc>
          <w:tcPr>
            <w:tcW w:w="1471" w:type="dxa"/>
          </w:tcPr>
          <w:p>
            <w:pPr>
              <w:pStyle w:val="TableParagraph"/>
              <w:rPr>
                <w:rFonts w:ascii="Times New Roman"/>
                <w:sz w:val="22"/>
              </w:rPr>
            </w:pPr>
          </w:p>
        </w:tc>
      </w:tr>
    </w:tbl>
    <w:p>
      <w:pPr>
        <w:pStyle w:val="BodyText"/>
        <w:spacing w:before="11"/>
        <w:ind w:left="0"/>
        <w:rPr>
          <w:rFonts w:ascii="黑体"/>
          <w:sz w:val="31"/>
        </w:rPr>
      </w:pPr>
    </w:p>
    <w:p>
      <w:pPr>
        <w:spacing w:before="0"/>
        <w:ind w:left="266" w:right="405" w:firstLine="0"/>
        <w:jc w:val="center"/>
        <w:rPr>
          <w:b/>
          <w:sz w:val="30"/>
        </w:rPr>
      </w:pPr>
      <w:r>
        <w:rPr>
          <w:b/>
          <w:sz w:val="30"/>
        </w:rPr>
        <w:t>疏散楼梯</w:t>
      </w:r>
    </w:p>
    <w:tbl>
      <w:tblPr>
        <w:tblW w:w="0" w:type="auto"/>
        <w:jc w:val="left"/>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05"/>
        <w:gridCol w:w="1185"/>
        <w:gridCol w:w="1341"/>
        <w:gridCol w:w="1346"/>
        <w:gridCol w:w="1142"/>
      </w:tblGrid>
      <w:tr>
        <w:trPr>
          <w:trHeight w:val="554" w:hRule="atLeast"/>
        </w:trPr>
        <w:tc>
          <w:tcPr>
            <w:tcW w:w="1505" w:type="dxa"/>
          </w:tcPr>
          <w:p>
            <w:pPr>
              <w:pStyle w:val="TableParagraph"/>
              <w:spacing w:before="154"/>
              <w:ind w:left="124"/>
              <w:rPr>
                <w:sz w:val="21"/>
              </w:rPr>
            </w:pPr>
            <w:r>
              <w:rPr>
                <w:sz w:val="21"/>
              </w:rPr>
              <w:t>疏散楼梯名称</w:t>
            </w:r>
          </w:p>
        </w:tc>
        <w:tc>
          <w:tcPr>
            <w:tcW w:w="1185" w:type="dxa"/>
          </w:tcPr>
          <w:p>
            <w:pPr>
              <w:pStyle w:val="TableParagraph"/>
              <w:spacing w:before="154"/>
              <w:ind w:left="381"/>
              <w:rPr>
                <w:sz w:val="21"/>
              </w:rPr>
            </w:pPr>
            <w:r>
              <w:rPr>
                <w:sz w:val="21"/>
              </w:rPr>
              <w:t>形式</w:t>
            </w:r>
          </w:p>
        </w:tc>
        <w:tc>
          <w:tcPr>
            <w:tcW w:w="1341" w:type="dxa"/>
          </w:tcPr>
          <w:p>
            <w:pPr>
              <w:pStyle w:val="TableParagraph"/>
              <w:spacing w:before="154"/>
              <w:ind w:left="250"/>
              <w:rPr>
                <w:sz w:val="21"/>
              </w:rPr>
            </w:pPr>
            <w:r>
              <w:rPr>
                <w:sz w:val="21"/>
              </w:rPr>
              <w:t>所在部位</w:t>
            </w:r>
          </w:p>
        </w:tc>
        <w:tc>
          <w:tcPr>
            <w:tcW w:w="1346" w:type="dxa"/>
          </w:tcPr>
          <w:p>
            <w:pPr>
              <w:pStyle w:val="TableParagraph"/>
              <w:spacing w:before="154"/>
              <w:ind w:left="446" w:right="434"/>
              <w:jc w:val="center"/>
              <w:rPr>
                <w:sz w:val="21"/>
              </w:rPr>
            </w:pPr>
            <w:r>
              <w:rPr>
                <w:sz w:val="21"/>
              </w:rPr>
              <w:t>状态</w:t>
            </w:r>
          </w:p>
        </w:tc>
        <w:tc>
          <w:tcPr>
            <w:tcW w:w="1142" w:type="dxa"/>
          </w:tcPr>
          <w:p>
            <w:pPr>
              <w:pStyle w:val="TableParagraph"/>
              <w:spacing w:before="154"/>
              <w:ind w:left="206"/>
              <w:rPr>
                <w:sz w:val="21"/>
              </w:rPr>
            </w:pPr>
            <w:r>
              <w:rPr>
                <w:sz w:val="21"/>
              </w:rPr>
              <w:t>宽度(m)</w:t>
            </w:r>
          </w:p>
        </w:tc>
      </w:tr>
      <w:tr>
        <w:trPr>
          <w:trHeight w:val="503" w:hRule="atLeast"/>
        </w:trPr>
        <w:tc>
          <w:tcPr>
            <w:tcW w:w="1505" w:type="dxa"/>
          </w:tcPr>
          <w:p>
            <w:pPr>
              <w:pStyle w:val="TableParagraph"/>
              <w:rPr>
                <w:rFonts w:ascii="Times New Roman"/>
                <w:sz w:val="22"/>
              </w:rPr>
            </w:pPr>
          </w:p>
        </w:tc>
        <w:tc>
          <w:tcPr>
            <w:tcW w:w="1185" w:type="dxa"/>
          </w:tcPr>
          <w:p>
            <w:pPr>
              <w:pStyle w:val="TableParagraph"/>
              <w:rPr>
                <w:rFonts w:ascii="Times New Roman"/>
                <w:sz w:val="22"/>
              </w:rPr>
            </w:pPr>
          </w:p>
        </w:tc>
        <w:tc>
          <w:tcPr>
            <w:tcW w:w="1341" w:type="dxa"/>
          </w:tcPr>
          <w:p>
            <w:pPr>
              <w:pStyle w:val="TableParagraph"/>
              <w:rPr>
                <w:rFonts w:ascii="Times New Roman"/>
                <w:sz w:val="22"/>
              </w:rPr>
            </w:pPr>
          </w:p>
        </w:tc>
        <w:tc>
          <w:tcPr>
            <w:tcW w:w="1346" w:type="dxa"/>
          </w:tcPr>
          <w:p>
            <w:pPr>
              <w:pStyle w:val="TableParagraph"/>
              <w:rPr>
                <w:rFonts w:ascii="Times New Roman"/>
                <w:sz w:val="22"/>
              </w:rPr>
            </w:pPr>
          </w:p>
        </w:tc>
        <w:tc>
          <w:tcPr>
            <w:tcW w:w="1142" w:type="dxa"/>
          </w:tcPr>
          <w:p>
            <w:pPr>
              <w:pStyle w:val="TableParagraph"/>
              <w:rPr>
                <w:rFonts w:ascii="Times New Roman"/>
                <w:sz w:val="22"/>
              </w:rPr>
            </w:pPr>
          </w:p>
        </w:tc>
      </w:tr>
      <w:tr>
        <w:trPr>
          <w:trHeight w:val="506" w:hRule="atLeast"/>
        </w:trPr>
        <w:tc>
          <w:tcPr>
            <w:tcW w:w="1505" w:type="dxa"/>
          </w:tcPr>
          <w:p>
            <w:pPr>
              <w:pStyle w:val="TableParagraph"/>
              <w:rPr>
                <w:rFonts w:ascii="Times New Roman"/>
                <w:sz w:val="22"/>
              </w:rPr>
            </w:pPr>
          </w:p>
        </w:tc>
        <w:tc>
          <w:tcPr>
            <w:tcW w:w="1185" w:type="dxa"/>
          </w:tcPr>
          <w:p>
            <w:pPr>
              <w:pStyle w:val="TableParagraph"/>
              <w:rPr>
                <w:rFonts w:ascii="Times New Roman"/>
                <w:sz w:val="22"/>
              </w:rPr>
            </w:pPr>
          </w:p>
        </w:tc>
        <w:tc>
          <w:tcPr>
            <w:tcW w:w="1341" w:type="dxa"/>
          </w:tcPr>
          <w:p>
            <w:pPr>
              <w:pStyle w:val="TableParagraph"/>
              <w:rPr>
                <w:rFonts w:ascii="Times New Roman"/>
                <w:sz w:val="22"/>
              </w:rPr>
            </w:pPr>
          </w:p>
        </w:tc>
        <w:tc>
          <w:tcPr>
            <w:tcW w:w="1346" w:type="dxa"/>
          </w:tcPr>
          <w:p>
            <w:pPr>
              <w:pStyle w:val="TableParagraph"/>
              <w:rPr>
                <w:rFonts w:ascii="Times New Roman"/>
                <w:sz w:val="22"/>
              </w:rPr>
            </w:pPr>
          </w:p>
        </w:tc>
        <w:tc>
          <w:tcPr>
            <w:tcW w:w="1142" w:type="dxa"/>
          </w:tcPr>
          <w:p>
            <w:pPr>
              <w:pStyle w:val="TableParagraph"/>
              <w:rPr>
                <w:rFonts w:ascii="Times New Roman"/>
                <w:sz w:val="22"/>
              </w:rPr>
            </w:pPr>
          </w:p>
        </w:tc>
      </w:tr>
      <w:tr>
        <w:trPr>
          <w:trHeight w:val="504" w:hRule="atLeast"/>
        </w:trPr>
        <w:tc>
          <w:tcPr>
            <w:tcW w:w="1505" w:type="dxa"/>
          </w:tcPr>
          <w:p>
            <w:pPr>
              <w:pStyle w:val="TableParagraph"/>
              <w:rPr>
                <w:rFonts w:ascii="Times New Roman"/>
                <w:sz w:val="22"/>
              </w:rPr>
            </w:pPr>
          </w:p>
        </w:tc>
        <w:tc>
          <w:tcPr>
            <w:tcW w:w="1185" w:type="dxa"/>
          </w:tcPr>
          <w:p>
            <w:pPr>
              <w:pStyle w:val="TableParagraph"/>
              <w:rPr>
                <w:rFonts w:ascii="Times New Roman"/>
                <w:sz w:val="22"/>
              </w:rPr>
            </w:pPr>
          </w:p>
        </w:tc>
        <w:tc>
          <w:tcPr>
            <w:tcW w:w="1341" w:type="dxa"/>
          </w:tcPr>
          <w:p>
            <w:pPr>
              <w:pStyle w:val="TableParagraph"/>
              <w:rPr>
                <w:rFonts w:ascii="Times New Roman"/>
                <w:sz w:val="22"/>
              </w:rPr>
            </w:pPr>
          </w:p>
        </w:tc>
        <w:tc>
          <w:tcPr>
            <w:tcW w:w="1346" w:type="dxa"/>
          </w:tcPr>
          <w:p>
            <w:pPr>
              <w:pStyle w:val="TableParagraph"/>
              <w:rPr>
                <w:rFonts w:ascii="Times New Roman"/>
                <w:sz w:val="22"/>
              </w:rPr>
            </w:pPr>
          </w:p>
        </w:tc>
        <w:tc>
          <w:tcPr>
            <w:tcW w:w="1142" w:type="dxa"/>
          </w:tcPr>
          <w:p>
            <w:pPr>
              <w:pStyle w:val="TableParagraph"/>
              <w:rPr>
                <w:rFonts w:ascii="Times New Roman"/>
                <w:sz w:val="22"/>
              </w:rPr>
            </w:pPr>
          </w:p>
        </w:tc>
      </w:tr>
      <w:tr>
        <w:trPr>
          <w:trHeight w:val="503" w:hRule="atLeast"/>
        </w:trPr>
        <w:tc>
          <w:tcPr>
            <w:tcW w:w="1505" w:type="dxa"/>
          </w:tcPr>
          <w:p>
            <w:pPr>
              <w:pStyle w:val="TableParagraph"/>
              <w:rPr>
                <w:rFonts w:ascii="Times New Roman"/>
                <w:sz w:val="22"/>
              </w:rPr>
            </w:pPr>
          </w:p>
        </w:tc>
        <w:tc>
          <w:tcPr>
            <w:tcW w:w="1185" w:type="dxa"/>
          </w:tcPr>
          <w:p>
            <w:pPr>
              <w:pStyle w:val="TableParagraph"/>
              <w:rPr>
                <w:rFonts w:ascii="Times New Roman"/>
                <w:sz w:val="22"/>
              </w:rPr>
            </w:pPr>
          </w:p>
        </w:tc>
        <w:tc>
          <w:tcPr>
            <w:tcW w:w="1341" w:type="dxa"/>
          </w:tcPr>
          <w:p>
            <w:pPr>
              <w:pStyle w:val="TableParagraph"/>
              <w:rPr>
                <w:rFonts w:ascii="Times New Roman"/>
                <w:sz w:val="22"/>
              </w:rPr>
            </w:pPr>
          </w:p>
        </w:tc>
        <w:tc>
          <w:tcPr>
            <w:tcW w:w="1346" w:type="dxa"/>
          </w:tcPr>
          <w:p>
            <w:pPr>
              <w:pStyle w:val="TableParagraph"/>
              <w:rPr>
                <w:rFonts w:ascii="Times New Roman"/>
                <w:sz w:val="22"/>
              </w:rPr>
            </w:pPr>
          </w:p>
        </w:tc>
        <w:tc>
          <w:tcPr>
            <w:tcW w:w="1142" w:type="dxa"/>
          </w:tcPr>
          <w:p>
            <w:pPr>
              <w:pStyle w:val="TableParagraph"/>
              <w:rPr>
                <w:rFonts w:ascii="Times New Roman"/>
                <w:sz w:val="22"/>
              </w:rPr>
            </w:pPr>
          </w:p>
        </w:tc>
      </w:tr>
      <w:tr>
        <w:trPr>
          <w:trHeight w:val="503" w:hRule="atLeast"/>
        </w:trPr>
        <w:tc>
          <w:tcPr>
            <w:tcW w:w="1505" w:type="dxa"/>
          </w:tcPr>
          <w:p>
            <w:pPr>
              <w:pStyle w:val="TableParagraph"/>
              <w:rPr>
                <w:rFonts w:ascii="Times New Roman"/>
                <w:sz w:val="22"/>
              </w:rPr>
            </w:pPr>
          </w:p>
        </w:tc>
        <w:tc>
          <w:tcPr>
            <w:tcW w:w="1185" w:type="dxa"/>
          </w:tcPr>
          <w:p>
            <w:pPr>
              <w:pStyle w:val="TableParagraph"/>
              <w:rPr>
                <w:rFonts w:ascii="Times New Roman"/>
                <w:sz w:val="22"/>
              </w:rPr>
            </w:pPr>
          </w:p>
        </w:tc>
        <w:tc>
          <w:tcPr>
            <w:tcW w:w="1341" w:type="dxa"/>
          </w:tcPr>
          <w:p>
            <w:pPr>
              <w:pStyle w:val="TableParagraph"/>
              <w:rPr>
                <w:rFonts w:ascii="Times New Roman"/>
                <w:sz w:val="22"/>
              </w:rPr>
            </w:pPr>
          </w:p>
        </w:tc>
        <w:tc>
          <w:tcPr>
            <w:tcW w:w="1346" w:type="dxa"/>
          </w:tcPr>
          <w:p>
            <w:pPr>
              <w:pStyle w:val="TableParagraph"/>
              <w:rPr>
                <w:rFonts w:ascii="Times New Roman"/>
                <w:sz w:val="22"/>
              </w:rPr>
            </w:pPr>
          </w:p>
        </w:tc>
        <w:tc>
          <w:tcPr>
            <w:tcW w:w="1142" w:type="dxa"/>
          </w:tcPr>
          <w:p>
            <w:pPr>
              <w:pStyle w:val="TableParagraph"/>
              <w:rPr>
                <w:rFonts w:ascii="Times New Roman"/>
                <w:sz w:val="22"/>
              </w:rPr>
            </w:pPr>
          </w:p>
        </w:tc>
      </w:tr>
    </w:tbl>
    <w:p>
      <w:pPr>
        <w:spacing w:after="0"/>
        <w:rPr>
          <w:rFonts w:ascii="Times New Roman"/>
          <w:sz w:val="22"/>
        </w:rPr>
        <w:sectPr>
          <w:pgSz w:w="8400" w:h="11910"/>
          <w:pgMar w:header="0" w:footer="834" w:top="1100" w:bottom="1020" w:left="700" w:right="560"/>
        </w:sectPr>
      </w:pPr>
    </w:p>
    <w:p>
      <w:pPr>
        <w:spacing w:before="29" w:after="5"/>
        <w:ind w:left="266" w:right="406" w:firstLine="0"/>
        <w:jc w:val="center"/>
        <w:rPr>
          <w:rFonts w:ascii="黑体" w:eastAsia="黑体" w:hint="eastAsia"/>
          <w:sz w:val="30"/>
        </w:rPr>
      </w:pPr>
      <w:r>
        <w:rPr>
          <w:rFonts w:ascii="黑体" w:eastAsia="黑体" w:hint="eastAsia"/>
          <w:sz w:val="30"/>
        </w:rPr>
        <w:t>室内消火栓系统</w:t>
      </w:r>
    </w:p>
    <w:tbl>
      <w:tblPr>
        <w:tblW w:w="0" w:type="auto"/>
        <w:jc w:val="left"/>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05"/>
        <w:gridCol w:w="1120"/>
        <w:gridCol w:w="1286"/>
        <w:gridCol w:w="869"/>
        <w:gridCol w:w="871"/>
        <w:gridCol w:w="1128"/>
      </w:tblGrid>
      <w:tr>
        <w:trPr>
          <w:trHeight w:val="667" w:hRule="atLeast"/>
        </w:trPr>
        <w:tc>
          <w:tcPr>
            <w:tcW w:w="1505" w:type="dxa"/>
          </w:tcPr>
          <w:p>
            <w:pPr>
              <w:pStyle w:val="TableParagraph"/>
              <w:spacing w:before="3"/>
              <w:rPr>
                <w:rFonts w:ascii="黑体"/>
                <w:sz w:val="15"/>
              </w:rPr>
            </w:pPr>
          </w:p>
          <w:p>
            <w:pPr>
              <w:pStyle w:val="TableParagraph"/>
              <w:ind w:left="103" w:right="94"/>
              <w:jc w:val="center"/>
              <w:rPr>
                <w:sz w:val="21"/>
              </w:rPr>
            </w:pPr>
            <w:r>
              <w:rPr>
                <w:sz w:val="21"/>
              </w:rPr>
              <w:t>设置部位</w:t>
            </w:r>
          </w:p>
        </w:tc>
        <w:tc>
          <w:tcPr>
            <w:tcW w:w="5274" w:type="dxa"/>
            <w:gridSpan w:val="5"/>
          </w:tcPr>
          <w:p>
            <w:pPr>
              <w:pStyle w:val="TableParagraph"/>
              <w:rPr>
                <w:rFonts w:ascii="Times New Roman"/>
                <w:sz w:val="20"/>
              </w:rPr>
            </w:pPr>
          </w:p>
        </w:tc>
      </w:tr>
      <w:tr>
        <w:trPr>
          <w:trHeight w:val="763" w:hRule="atLeast"/>
        </w:trPr>
        <w:tc>
          <w:tcPr>
            <w:tcW w:w="1505" w:type="dxa"/>
          </w:tcPr>
          <w:p>
            <w:pPr>
              <w:pStyle w:val="TableParagraph"/>
              <w:spacing w:line="213" w:lineRule="auto" w:before="146"/>
              <w:ind w:left="647" w:right="113" w:hanging="526"/>
              <w:rPr>
                <w:sz w:val="21"/>
              </w:rPr>
            </w:pPr>
            <w:r>
              <w:rPr>
                <w:sz w:val="21"/>
              </w:rPr>
              <w:t>室内消火栓数量</w:t>
            </w:r>
          </w:p>
        </w:tc>
        <w:tc>
          <w:tcPr>
            <w:tcW w:w="1120" w:type="dxa"/>
          </w:tcPr>
          <w:p>
            <w:pPr>
              <w:pStyle w:val="TableParagraph"/>
              <w:rPr>
                <w:rFonts w:ascii="Times New Roman"/>
                <w:sz w:val="20"/>
              </w:rPr>
            </w:pPr>
          </w:p>
        </w:tc>
        <w:tc>
          <w:tcPr>
            <w:tcW w:w="1286" w:type="dxa"/>
          </w:tcPr>
          <w:p>
            <w:pPr>
              <w:pStyle w:val="TableParagraph"/>
              <w:spacing w:line="213" w:lineRule="auto" w:before="146"/>
              <w:ind w:left="435" w:right="106" w:hanging="318"/>
              <w:rPr>
                <w:sz w:val="21"/>
              </w:rPr>
            </w:pPr>
            <w:r>
              <w:rPr>
                <w:sz w:val="21"/>
              </w:rPr>
              <w:t>消防泵设置部位</w:t>
            </w:r>
          </w:p>
        </w:tc>
        <w:tc>
          <w:tcPr>
            <w:tcW w:w="2868" w:type="dxa"/>
            <w:gridSpan w:val="3"/>
          </w:tcPr>
          <w:p>
            <w:pPr>
              <w:pStyle w:val="TableParagraph"/>
              <w:rPr>
                <w:rFonts w:ascii="Times New Roman"/>
                <w:sz w:val="20"/>
              </w:rPr>
            </w:pPr>
          </w:p>
        </w:tc>
      </w:tr>
      <w:tr>
        <w:trPr>
          <w:trHeight w:val="669" w:hRule="atLeast"/>
        </w:trPr>
        <w:tc>
          <w:tcPr>
            <w:tcW w:w="1505" w:type="dxa"/>
          </w:tcPr>
          <w:p>
            <w:pPr>
              <w:pStyle w:val="TableParagraph"/>
              <w:spacing w:before="5"/>
              <w:rPr>
                <w:rFonts w:ascii="黑体"/>
                <w:sz w:val="15"/>
              </w:rPr>
            </w:pPr>
          </w:p>
          <w:p>
            <w:pPr>
              <w:pStyle w:val="TableParagraph"/>
              <w:ind w:left="103" w:right="94"/>
              <w:jc w:val="center"/>
              <w:rPr>
                <w:sz w:val="21"/>
              </w:rPr>
            </w:pPr>
            <w:r>
              <w:rPr>
                <w:sz w:val="21"/>
              </w:rPr>
              <w:t>消防泵数量</w:t>
            </w:r>
          </w:p>
        </w:tc>
        <w:tc>
          <w:tcPr>
            <w:tcW w:w="1120" w:type="dxa"/>
          </w:tcPr>
          <w:p>
            <w:pPr>
              <w:pStyle w:val="TableParagraph"/>
              <w:rPr>
                <w:rFonts w:ascii="Times New Roman"/>
                <w:sz w:val="20"/>
              </w:rPr>
            </w:pPr>
          </w:p>
        </w:tc>
        <w:tc>
          <w:tcPr>
            <w:tcW w:w="1286" w:type="dxa"/>
          </w:tcPr>
          <w:p>
            <w:pPr>
              <w:pStyle w:val="TableParagraph"/>
              <w:spacing w:before="5"/>
              <w:rPr>
                <w:rFonts w:ascii="黑体"/>
                <w:sz w:val="15"/>
              </w:rPr>
            </w:pPr>
          </w:p>
          <w:p>
            <w:pPr>
              <w:pStyle w:val="TableParagraph"/>
              <w:ind w:left="153" w:right="143"/>
              <w:jc w:val="center"/>
              <w:rPr>
                <w:sz w:val="21"/>
              </w:rPr>
            </w:pPr>
            <w:r>
              <w:rPr>
                <w:sz w:val="21"/>
              </w:rPr>
              <w:t>流量(L/S)</w:t>
            </w:r>
          </w:p>
        </w:tc>
        <w:tc>
          <w:tcPr>
            <w:tcW w:w="869" w:type="dxa"/>
          </w:tcPr>
          <w:p>
            <w:pPr>
              <w:pStyle w:val="TableParagraph"/>
              <w:rPr>
                <w:rFonts w:ascii="Times New Roman"/>
                <w:sz w:val="20"/>
              </w:rPr>
            </w:pPr>
          </w:p>
        </w:tc>
        <w:tc>
          <w:tcPr>
            <w:tcW w:w="871" w:type="dxa"/>
          </w:tcPr>
          <w:p>
            <w:pPr>
              <w:pStyle w:val="TableParagraph"/>
              <w:spacing w:line="213" w:lineRule="auto" w:before="101"/>
              <w:ind w:left="283" w:right="211" w:hanging="53"/>
              <w:rPr>
                <w:sz w:val="21"/>
              </w:rPr>
            </w:pPr>
            <w:r>
              <w:rPr>
                <w:sz w:val="21"/>
              </w:rPr>
              <w:t>扬程(m)</w:t>
            </w:r>
          </w:p>
        </w:tc>
        <w:tc>
          <w:tcPr>
            <w:tcW w:w="1128" w:type="dxa"/>
          </w:tcPr>
          <w:p>
            <w:pPr>
              <w:pStyle w:val="TableParagraph"/>
              <w:rPr>
                <w:rFonts w:ascii="Times New Roman"/>
                <w:sz w:val="20"/>
              </w:rPr>
            </w:pPr>
          </w:p>
        </w:tc>
      </w:tr>
      <w:tr>
        <w:trPr>
          <w:trHeight w:val="667" w:hRule="atLeast"/>
        </w:trPr>
        <w:tc>
          <w:tcPr>
            <w:tcW w:w="1505" w:type="dxa"/>
          </w:tcPr>
          <w:p>
            <w:pPr>
              <w:pStyle w:val="TableParagraph"/>
              <w:spacing w:line="213" w:lineRule="auto" w:before="98"/>
              <w:ind w:left="542" w:right="216" w:hanging="315"/>
              <w:rPr>
                <w:sz w:val="21"/>
              </w:rPr>
            </w:pPr>
            <w:r>
              <w:rPr>
                <w:sz w:val="21"/>
              </w:rPr>
              <w:t>接合器数量(个)</w:t>
            </w:r>
          </w:p>
        </w:tc>
        <w:tc>
          <w:tcPr>
            <w:tcW w:w="5274" w:type="dxa"/>
            <w:gridSpan w:val="5"/>
          </w:tcPr>
          <w:p>
            <w:pPr>
              <w:pStyle w:val="TableParagraph"/>
              <w:rPr>
                <w:rFonts w:ascii="Times New Roman"/>
                <w:sz w:val="20"/>
              </w:rPr>
            </w:pPr>
          </w:p>
        </w:tc>
      </w:tr>
      <w:tr>
        <w:trPr>
          <w:trHeight w:val="669" w:hRule="atLeast"/>
        </w:trPr>
        <w:tc>
          <w:tcPr>
            <w:tcW w:w="1505" w:type="dxa"/>
          </w:tcPr>
          <w:p>
            <w:pPr>
              <w:pStyle w:val="TableParagraph"/>
              <w:spacing w:line="206" w:lineRule="auto" w:before="107"/>
              <w:ind w:left="568" w:right="113" w:hanging="447"/>
              <w:rPr>
                <w:sz w:val="21"/>
              </w:rPr>
            </w:pPr>
            <w:r>
              <w:rPr>
                <w:sz w:val="21"/>
              </w:rPr>
              <w:t>屋顶水箱容量(m</w:t>
            </w:r>
            <w:r>
              <w:rPr>
                <w:position w:val="11"/>
                <w:sz w:val="11"/>
              </w:rPr>
              <w:t>3</w:t>
            </w:r>
            <w:r>
              <w:rPr>
                <w:sz w:val="21"/>
              </w:rPr>
              <w:t>)</w:t>
            </w:r>
          </w:p>
        </w:tc>
        <w:tc>
          <w:tcPr>
            <w:tcW w:w="5274" w:type="dxa"/>
            <w:gridSpan w:val="5"/>
          </w:tcPr>
          <w:p>
            <w:pPr>
              <w:pStyle w:val="TableParagraph"/>
              <w:rPr>
                <w:rFonts w:ascii="Times New Roman"/>
                <w:sz w:val="20"/>
              </w:rPr>
            </w:pPr>
          </w:p>
        </w:tc>
      </w:tr>
      <w:tr>
        <w:trPr>
          <w:trHeight w:val="667" w:hRule="atLeast"/>
        </w:trPr>
        <w:tc>
          <w:tcPr>
            <w:tcW w:w="1505" w:type="dxa"/>
          </w:tcPr>
          <w:p>
            <w:pPr>
              <w:pStyle w:val="TableParagraph"/>
              <w:spacing w:before="3"/>
              <w:rPr>
                <w:rFonts w:ascii="黑体"/>
                <w:sz w:val="15"/>
              </w:rPr>
            </w:pPr>
          </w:p>
          <w:p>
            <w:pPr>
              <w:pStyle w:val="TableParagraph"/>
              <w:ind w:left="102" w:right="96"/>
              <w:jc w:val="center"/>
              <w:rPr>
                <w:sz w:val="21"/>
              </w:rPr>
            </w:pPr>
            <w:r>
              <w:rPr>
                <w:sz w:val="21"/>
              </w:rPr>
              <w:t>竖管管径(m)</w:t>
            </w:r>
          </w:p>
        </w:tc>
        <w:tc>
          <w:tcPr>
            <w:tcW w:w="5274" w:type="dxa"/>
            <w:gridSpan w:val="5"/>
          </w:tcPr>
          <w:p>
            <w:pPr>
              <w:pStyle w:val="TableParagraph"/>
              <w:rPr>
                <w:rFonts w:ascii="Times New Roman"/>
                <w:sz w:val="20"/>
              </w:rPr>
            </w:pPr>
          </w:p>
        </w:tc>
      </w:tr>
      <w:tr>
        <w:trPr>
          <w:trHeight w:val="669" w:hRule="atLeast"/>
        </w:trPr>
        <w:tc>
          <w:tcPr>
            <w:tcW w:w="1505" w:type="dxa"/>
          </w:tcPr>
          <w:p>
            <w:pPr>
              <w:pStyle w:val="TableParagraph"/>
              <w:spacing w:before="3"/>
              <w:rPr>
                <w:rFonts w:ascii="黑体"/>
                <w:sz w:val="15"/>
              </w:rPr>
            </w:pPr>
          </w:p>
          <w:p>
            <w:pPr>
              <w:pStyle w:val="TableParagraph"/>
              <w:ind w:left="103" w:right="94"/>
              <w:jc w:val="center"/>
              <w:rPr>
                <w:sz w:val="21"/>
              </w:rPr>
            </w:pPr>
            <w:r>
              <w:rPr>
                <w:sz w:val="21"/>
              </w:rPr>
              <w:t>稳压泵数量</w:t>
            </w:r>
          </w:p>
        </w:tc>
        <w:tc>
          <w:tcPr>
            <w:tcW w:w="1120" w:type="dxa"/>
          </w:tcPr>
          <w:p>
            <w:pPr>
              <w:pStyle w:val="TableParagraph"/>
              <w:rPr>
                <w:rFonts w:ascii="Times New Roman"/>
                <w:sz w:val="20"/>
              </w:rPr>
            </w:pPr>
          </w:p>
        </w:tc>
        <w:tc>
          <w:tcPr>
            <w:tcW w:w="1286" w:type="dxa"/>
          </w:tcPr>
          <w:p>
            <w:pPr>
              <w:pStyle w:val="TableParagraph"/>
              <w:spacing w:before="3"/>
              <w:rPr>
                <w:rFonts w:ascii="黑体"/>
                <w:sz w:val="15"/>
              </w:rPr>
            </w:pPr>
          </w:p>
          <w:p>
            <w:pPr>
              <w:pStyle w:val="TableParagraph"/>
              <w:ind w:left="153" w:right="143"/>
              <w:jc w:val="center"/>
              <w:rPr>
                <w:sz w:val="21"/>
              </w:rPr>
            </w:pPr>
            <w:r>
              <w:rPr>
                <w:sz w:val="21"/>
              </w:rPr>
              <w:t>流量(L/S)</w:t>
            </w:r>
          </w:p>
        </w:tc>
        <w:tc>
          <w:tcPr>
            <w:tcW w:w="869" w:type="dxa"/>
          </w:tcPr>
          <w:p>
            <w:pPr>
              <w:pStyle w:val="TableParagraph"/>
              <w:rPr>
                <w:rFonts w:ascii="Times New Roman"/>
                <w:sz w:val="20"/>
              </w:rPr>
            </w:pPr>
          </w:p>
        </w:tc>
        <w:tc>
          <w:tcPr>
            <w:tcW w:w="871" w:type="dxa"/>
          </w:tcPr>
          <w:p>
            <w:pPr>
              <w:pStyle w:val="TableParagraph"/>
              <w:spacing w:line="213" w:lineRule="auto" w:before="98"/>
              <w:ind w:left="283" w:right="211" w:hanging="53"/>
              <w:rPr>
                <w:sz w:val="21"/>
              </w:rPr>
            </w:pPr>
            <w:r>
              <w:rPr>
                <w:sz w:val="21"/>
              </w:rPr>
              <w:t>扬程(m)</w:t>
            </w:r>
          </w:p>
        </w:tc>
        <w:tc>
          <w:tcPr>
            <w:tcW w:w="1128" w:type="dxa"/>
          </w:tcPr>
          <w:p>
            <w:pPr>
              <w:pStyle w:val="TableParagraph"/>
              <w:rPr>
                <w:rFonts w:ascii="Times New Roman"/>
                <w:sz w:val="20"/>
              </w:rPr>
            </w:pPr>
          </w:p>
        </w:tc>
      </w:tr>
      <w:tr>
        <w:trPr>
          <w:trHeight w:val="667" w:hRule="atLeast"/>
        </w:trPr>
        <w:tc>
          <w:tcPr>
            <w:tcW w:w="1505" w:type="dxa"/>
          </w:tcPr>
          <w:p>
            <w:pPr>
              <w:pStyle w:val="TableParagraph"/>
              <w:spacing w:line="206" w:lineRule="auto" w:before="105"/>
              <w:ind w:left="568" w:right="216" w:hanging="341"/>
              <w:rPr>
                <w:sz w:val="21"/>
              </w:rPr>
            </w:pPr>
            <w:r>
              <w:rPr>
                <w:sz w:val="21"/>
              </w:rPr>
              <w:t>气压罐容量(m</w:t>
            </w:r>
            <w:r>
              <w:rPr>
                <w:position w:val="11"/>
                <w:sz w:val="11"/>
              </w:rPr>
              <w:t>3</w:t>
            </w:r>
            <w:r>
              <w:rPr>
                <w:sz w:val="21"/>
              </w:rPr>
              <w:t>)</w:t>
            </w:r>
          </w:p>
        </w:tc>
        <w:tc>
          <w:tcPr>
            <w:tcW w:w="5274" w:type="dxa"/>
            <w:gridSpan w:val="5"/>
          </w:tcPr>
          <w:p>
            <w:pPr>
              <w:pStyle w:val="TableParagraph"/>
              <w:rPr>
                <w:rFonts w:ascii="Times New Roman"/>
                <w:sz w:val="20"/>
              </w:rPr>
            </w:pPr>
          </w:p>
        </w:tc>
      </w:tr>
      <w:tr>
        <w:trPr>
          <w:trHeight w:val="1257" w:hRule="atLeast"/>
        </w:trPr>
        <w:tc>
          <w:tcPr>
            <w:tcW w:w="1505" w:type="dxa"/>
          </w:tcPr>
          <w:p>
            <w:pPr>
              <w:pStyle w:val="TableParagraph"/>
              <w:rPr>
                <w:rFonts w:ascii="黑体"/>
                <w:sz w:val="20"/>
              </w:rPr>
            </w:pPr>
          </w:p>
          <w:p>
            <w:pPr>
              <w:pStyle w:val="TableParagraph"/>
              <w:spacing w:line="213" w:lineRule="auto" w:before="137"/>
              <w:ind w:left="542" w:right="113" w:hanging="420"/>
              <w:rPr>
                <w:sz w:val="21"/>
              </w:rPr>
            </w:pPr>
            <w:r>
              <w:rPr>
                <w:sz w:val="21"/>
              </w:rPr>
              <w:t>消防水喉数量(个)</w:t>
            </w:r>
          </w:p>
        </w:tc>
        <w:tc>
          <w:tcPr>
            <w:tcW w:w="5274" w:type="dxa"/>
            <w:gridSpan w:val="5"/>
          </w:tcPr>
          <w:p>
            <w:pPr>
              <w:pStyle w:val="TableParagraph"/>
              <w:rPr>
                <w:rFonts w:ascii="Times New Roman"/>
                <w:sz w:val="20"/>
              </w:rPr>
            </w:pPr>
          </w:p>
        </w:tc>
      </w:tr>
      <w:tr>
        <w:trPr>
          <w:trHeight w:val="669" w:hRule="atLeast"/>
        </w:trPr>
        <w:tc>
          <w:tcPr>
            <w:tcW w:w="1505" w:type="dxa"/>
          </w:tcPr>
          <w:p>
            <w:pPr>
              <w:pStyle w:val="TableParagraph"/>
              <w:spacing w:before="3"/>
              <w:rPr>
                <w:rFonts w:ascii="黑体"/>
                <w:sz w:val="15"/>
              </w:rPr>
            </w:pPr>
          </w:p>
          <w:p>
            <w:pPr>
              <w:pStyle w:val="TableParagraph"/>
              <w:ind w:left="103" w:right="94"/>
              <w:jc w:val="center"/>
              <w:rPr>
                <w:sz w:val="21"/>
              </w:rPr>
            </w:pPr>
            <w:r>
              <w:rPr>
                <w:sz w:val="21"/>
              </w:rPr>
              <w:t>系统状态</w:t>
            </w:r>
          </w:p>
        </w:tc>
        <w:tc>
          <w:tcPr>
            <w:tcW w:w="5274" w:type="dxa"/>
            <w:gridSpan w:val="5"/>
          </w:tcPr>
          <w:p>
            <w:pPr>
              <w:pStyle w:val="TableParagraph"/>
              <w:spacing w:before="3"/>
              <w:rPr>
                <w:rFonts w:ascii="黑体"/>
                <w:sz w:val="15"/>
              </w:rPr>
            </w:pPr>
          </w:p>
          <w:p>
            <w:pPr>
              <w:pStyle w:val="TableParagraph"/>
              <w:ind w:left="1377"/>
              <w:rPr>
                <w:sz w:val="21"/>
              </w:rPr>
            </w:pPr>
            <w:r>
              <w:rPr>
                <w:sz w:val="21"/>
              </w:rPr>
              <w:t>(正常)(不正常)(不能使用)</w:t>
            </w:r>
          </w:p>
        </w:tc>
      </w:tr>
      <w:tr>
        <w:trPr>
          <w:trHeight w:val="667" w:hRule="atLeast"/>
        </w:trPr>
        <w:tc>
          <w:tcPr>
            <w:tcW w:w="1505" w:type="dxa"/>
          </w:tcPr>
          <w:p>
            <w:pPr>
              <w:pStyle w:val="TableParagraph"/>
              <w:spacing w:before="3"/>
              <w:rPr>
                <w:rFonts w:ascii="黑体"/>
                <w:sz w:val="15"/>
              </w:rPr>
            </w:pPr>
          </w:p>
          <w:p>
            <w:pPr>
              <w:pStyle w:val="TableParagraph"/>
              <w:ind w:left="103" w:right="94"/>
              <w:jc w:val="center"/>
              <w:rPr>
                <w:sz w:val="21"/>
              </w:rPr>
            </w:pPr>
            <w:r>
              <w:rPr>
                <w:sz w:val="21"/>
              </w:rPr>
              <w:t>责任部门</w:t>
            </w:r>
          </w:p>
        </w:tc>
        <w:tc>
          <w:tcPr>
            <w:tcW w:w="2406" w:type="dxa"/>
            <w:gridSpan w:val="2"/>
          </w:tcPr>
          <w:p>
            <w:pPr>
              <w:pStyle w:val="TableParagraph"/>
              <w:rPr>
                <w:rFonts w:ascii="Times New Roman"/>
                <w:sz w:val="20"/>
              </w:rPr>
            </w:pPr>
          </w:p>
        </w:tc>
        <w:tc>
          <w:tcPr>
            <w:tcW w:w="869" w:type="dxa"/>
          </w:tcPr>
          <w:p>
            <w:pPr>
              <w:pStyle w:val="TableParagraph"/>
              <w:spacing w:before="3"/>
              <w:rPr>
                <w:rFonts w:ascii="黑体"/>
                <w:sz w:val="15"/>
              </w:rPr>
            </w:pPr>
          </w:p>
          <w:p>
            <w:pPr>
              <w:pStyle w:val="TableParagraph"/>
              <w:ind w:left="119"/>
              <w:rPr>
                <w:sz w:val="21"/>
              </w:rPr>
            </w:pPr>
            <w:r>
              <w:rPr>
                <w:sz w:val="21"/>
              </w:rPr>
              <w:t>责任人</w:t>
            </w:r>
          </w:p>
        </w:tc>
        <w:tc>
          <w:tcPr>
            <w:tcW w:w="1999" w:type="dxa"/>
            <w:gridSpan w:val="2"/>
          </w:tcPr>
          <w:p>
            <w:pPr>
              <w:pStyle w:val="TableParagraph"/>
              <w:rPr>
                <w:rFonts w:ascii="Times New Roman"/>
                <w:sz w:val="20"/>
              </w:rPr>
            </w:pPr>
          </w:p>
        </w:tc>
      </w:tr>
      <w:tr>
        <w:trPr>
          <w:trHeight w:val="854" w:hRule="atLeast"/>
        </w:trPr>
        <w:tc>
          <w:tcPr>
            <w:tcW w:w="1505" w:type="dxa"/>
          </w:tcPr>
          <w:p>
            <w:pPr>
              <w:pStyle w:val="TableParagraph"/>
              <w:spacing w:before="7"/>
              <w:rPr>
                <w:rFonts w:ascii="黑体"/>
                <w:sz w:val="22"/>
              </w:rPr>
            </w:pPr>
          </w:p>
          <w:p>
            <w:pPr>
              <w:pStyle w:val="TableParagraph"/>
              <w:ind w:left="103" w:right="96"/>
              <w:jc w:val="center"/>
              <w:rPr>
                <w:sz w:val="21"/>
              </w:rPr>
            </w:pPr>
            <w:r>
              <w:rPr>
                <w:sz w:val="21"/>
              </w:rPr>
              <w:t>维修保养单位</w:t>
            </w:r>
          </w:p>
        </w:tc>
        <w:tc>
          <w:tcPr>
            <w:tcW w:w="5274" w:type="dxa"/>
            <w:gridSpan w:val="5"/>
          </w:tcPr>
          <w:p>
            <w:pPr>
              <w:pStyle w:val="TableParagraph"/>
              <w:rPr>
                <w:rFonts w:ascii="Times New Roman"/>
                <w:sz w:val="20"/>
              </w:rPr>
            </w:pPr>
          </w:p>
        </w:tc>
      </w:tr>
    </w:tbl>
    <w:p>
      <w:pPr>
        <w:spacing w:after="0"/>
        <w:rPr>
          <w:rFonts w:ascii="Times New Roman"/>
          <w:sz w:val="20"/>
        </w:rPr>
        <w:sectPr>
          <w:pgSz w:w="8400" w:h="11910"/>
          <w:pgMar w:header="0" w:footer="875" w:top="1100" w:bottom="1060" w:left="700" w:right="56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自动喷水灭火系统</w:t>
      </w:r>
    </w:p>
    <w:tbl>
      <w:tblPr>
        <w:tblW w:w="0" w:type="auto"/>
        <w:jc w:val="left"/>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0"/>
        <w:gridCol w:w="1249"/>
        <w:gridCol w:w="2079"/>
        <w:gridCol w:w="1126"/>
        <w:gridCol w:w="1383"/>
        <w:gridCol w:w="1248"/>
      </w:tblGrid>
      <w:tr>
        <w:trPr>
          <w:trHeight w:val="436" w:hRule="atLeast"/>
        </w:trPr>
        <w:tc>
          <w:tcPr>
            <w:tcW w:w="2590" w:type="dxa"/>
          </w:tcPr>
          <w:p>
            <w:pPr>
              <w:pStyle w:val="TableParagraph"/>
              <w:spacing w:before="97"/>
              <w:ind w:left="435" w:right="425"/>
              <w:jc w:val="center"/>
              <w:rPr>
                <w:sz w:val="21"/>
              </w:rPr>
            </w:pPr>
            <w:r>
              <w:rPr>
                <w:sz w:val="21"/>
              </w:rPr>
              <w:t>设置部位</w:t>
            </w:r>
          </w:p>
        </w:tc>
        <w:tc>
          <w:tcPr>
            <w:tcW w:w="7085" w:type="dxa"/>
            <w:gridSpan w:val="5"/>
          </w:tcPr>
          <w:p>
            <w:pPr>
              <w:pStyle w:val="TableParagraph"/>
              <w:rPr>
                <w:rFonts w:ascii="Times New Roman"/>
                <w:sz w:val="20"/>
              </w:rPr>
            </w:pPr>
          </w:p>
        </w:tc>
      </w:tr>
      <w:tr>
        <w:trPr>
          <w:trHeight w:val="439" w:hRule="atLeast"/>
        </w:trPr>
        <w:tc>
          <w:tcPr>
            <w:tcW w:w="2590" w:type="dxa"/>
          </w:tcPr>
          <w:p>
            <w:pPr>
              <w:pStyle w:val="TableParagraph"/>
              <w:spacing w:before="99"/>
              <w:ind w:left="435" w:right="423"/>
              <w:jc w:val="center"/>
              <w:rPr>
                <w:sz w:val="21"/>
              </w:rPr>
            </w:pPr>
            <w:r>
              <w:rPr>
                <w:sz w:val="21"/>
              </w:rPr>
              <w:t>喷淋泵设置部位</w:t>
            </w:r>
          </w:p>
        </w:tc>
        <w:tc>
          <w:tcPr>
            <w:tcW w:w="1249" w:type="dxa"/>
          </w:tcPr>
          <w:p>
            <w:pPr>
              <w:pStyle w:val="TableParagraph"/>
              <w:rPr>
                <w:rFonts w:ascii="Times New Roman"/>
                <w:sz w:val="20"/>
              </w:rPr>
            </w:pPr>
          </w:p>
        </w:tc>
        <w:tc>
          <w:tcPr>
            <w:tcW w:w="2079" w:type="dxa"/>
          </w:tcPr>
          <w:p>
            <w:pPr>
              <w:pStyle w:val="TableParagraph"/>
              <w:spacing w:before="99"/>
              <w:ind w:left="8"/>
              <w:jc w:val="center"/>
              <w:rPr>
                <w:sz w:val="21"/>
              </w:rPr>
            </w:pPr>
            <w:r>
              <w:rPr>
                <w:sz w:val="21"/>
              </w:rPr>
              <w:t>报警阀数(个)</w:t>
            </w:r>
          </w:p>
        </w:tc>
        <w:tc>
          <w:tcPr>
            <w:tcW w:w="3757" w:type="dxa"/>
            <w:gridSpan w:val="3"/>
          </w:tcPr>
          <w:p>
            <w:pPr>
              <w:pStyle w:val="TableParagraph"/>
              <w:rPr>
                <w:rFonts w:ascii="Times New Roman"/>
                <w:sz w:val="20"/>
              </w:rPr>
            </w:pPr>
          </w:p>
        </w:tc>
      </w:tr>
      <w:tr>
        <w:trPr>
          <w:trHeight w:val="438" w:hRule="atLeast"/>
        </w:trPr>
        <w:tc>
          <w:tcPr>
            <w:tcW w:w="2590" w:type="dxa"/>
          </w:tcPr>
          <w:p>
            <w:pPr>
              <w:pStyle w:val="TableParagraph"/>
              <w:spacing w:before="99"/>
              <w:ind w:left="435" w:right="425"/>
              <w:jc w:val="center"/>
              <w:rPr>
                <w:sz w:val="21"/>
              </w:rPr>
            </w:pPr>
            <w:r>
              <w:rPr>
                <w:sz w:val="21"/>
              </w:rPr>
              <w:t>水流指示器数(个)</w:t>
            </w:r>
          </w:p>
        </w:tc>
        <w:tc>
          <w:tcPr>
            <w:tcW w:w="1249" w:type="dxa"/>
          </w:tcPr>
          <w:p>
            <w:pPr>
              <w:pStyle w:val="TableParagraph"/>
              <w:rPr>
                <w:rFonts w:ascii="Times New Roman"/>
                <w:sz w:val="20"/>
              </w:rPr>
            </w:pPr>
          </w:p>
        </w:tc>
        <w:tc>
          <w:tcPr>
            <w:tcW w:w="2079" w:type="dxa"/>
          </w:tcPr>
          <w:p>
            <w:pPr>
              <w:pStyle w:val="TableParagraph"/>
              <w:tabs>
                <w:tab w:pos="850" w:val="left" w:leader="none"/>
              </w:tabs>
              <w:spacing w:before="99"/>
              <w:ind w:left="8"/>
              <w:jc w:val="center"/>
              <w:rPr>
                <w:sz w:val="21"/>
              </w:rPr>
            </w:pPr>
            <w:r>
              <w:rPr>
                <w:sz w:val="21"/>
              </w:rPr>
              <w:t>喷头数</w:t>
              <w:tab/>
            </w:r>
            <w:r>
              <w:rPr>
                <w:spacing w:val="-3"/>
                <w:sz w:val="21"/>
              </w:rPr>
              <w:t>(</w:t>
            </w:r>
            <w:r>
              <w:rPr>
                <w:sz w:val="21"/>
              </w:rPr>
              <w:t>个)</w:t>
            </w:r>
          </w:p>
        </w:tc>
        <w:tc>
          <w:tcPr>
            <w:tcW w:w="3757" w:type="dxa"/>
            <w:gridSpan w:val="3"/>
          </w:tcPr>
          <w:p>
            <w:pPr>
              <w:pStyle w:val="TableParagraph"/>
              <w:rPr>
                <w:rFonts w:ascii="Times New Roman"/>
                <w:sz w:val="20"/>
              </w:rPr>
            </w:pPr>
          </w:p>
        </w:tc>
      </w:tr>
      <w:tr>
        <w:trPr>
          <w:trHeight w:val="436" w:hRule="atLeast"/>
        </w:trPr>
        <w:tc>
          <w:tcPr>
            <w:tcW w:w="2590" w:type="dxa"/>
          </w:tcPr>
          <w:p>
            <w:pPr>
              <w:pStyle w:val="TableParagraph"/>
              <w:spacing w:before="97"/>
              <w:ind w:left="435" w:right="425"/>
              <w:jc w:val="center"/>
              <w:rPr>
                <w:sz w:val="21"/>
              </w:rPr>
            </w:pPr>
            <w:r>
              <w:rPr>
                <w:sz w:val="21"/>
              </w:rPr>
              <w:t>水泵接合器数(个)</w:t>
            </w:r>
          </w:p>
        </w:tc>
        <w:tc>
          <w:tcPr>
            <w:tcW w:w="1249" w:type="dxa"/>
          </w:tcPr>
          <w:p>
            <w:pPr>
              <w:pStyle w:val="TableParagraph"/>
              <w:rPr>
                <w:rFonts w:ascii="Times New Roman"/>
                <w:sz w:val="20"/>
              </w:rPr>
            </w:pPr>
          </w:p>
        </w:tc>
        <w:tc>
          <w:tcPr>
            <w:tcW w:w="2079" w:type="dxa"/>
          </w:tcPr>
          <w:p>
            <w:pPr>
              <w:pStyle w:val="TableParagraph"/>
              <w:spacing w:before="97"/>
              <w:ind w:left="8"/>
              <w:jc w:val="center"/>
              <w:rPr>
                <w:sz w:val="21"/>
              </w:rPr>
            </w:pPr>
            <w:r>
              <w:rPr>
                <w:sz w:val="21"/>
              </w:rPr>
              <w:t>干管管径(mm)</w:t>
            </w:r>
          </w:p>
        </w:tc>
        <w:tc>
          <w:tcPr>
            <w:tcW w:w="3757" w:type="dxa"/>
            <w:gridSpan w:val="3"/>
          </w:tcPr>
          <w:p>
            <w:pPr>
              <w:pStyle w:val="TableParagraph"/>
              <w:rPr>
                <w:rFonts w:ascii="Times New Roman"/>
                <w:sz w:val="20"/>
              </w:rPr>
            </w:pPr>
          </w:p>
        </w:tc>
      </w:tr>
      <w:tr>
        <w:trPr>
          <w:trHeight w:val="438" w:hRule="atLeast"/>
        </w:trPr>
        <w:tc>
          <w:tcPr>
            <w:tcW w:w="2590" w:type="dxa"/>
          </w:tcPr>
          <w:p>
            <w:pPr>
              <w:pStyle w:val="TableParagraph"/>
              <w:spacing w:before="99"/>
              <w:ind w:left="435" w:right="423"/>
              <w:jc w:val="center"/>
              <w:rPr>
                <w:sz w:val="21"/>
              </w:rPr>
            </w:pPr>
            <w:r>
              <w:rPr>
                <w:sz w:val="21"/>
              </w:rPr>
              <w:t>减压阀数(个)</w:t>
            </w:r>
          </w:p>
        </w:tc>
        <w:tc>
          <w:tcPr>
            <w:tcW w:w="1249" w:type="dxa"/>
          </w:tcPr>
          <w:p>
            <w:pPr>
              <w:pStyle w:val="TableParagraph"/>
              <w:rPr>
                <w:rFonts w:ascii="Times New Roman"/>
                <w:sz w:val="20"/>
              </w:rPr>
            </w:pPr>
          </w:p>
        </w:tc>
        <w:tc>
          <w:tcPr>
            <w:tcW w:w="2079" w:type="dxa"/>
          </w:tcPr>
          <w:p>
            <w:pPr>
              <w:pStyle w:val="TableParagraph"/>
              <w:spacing w:before="99"/>
              <w:ind w:left="8"/>
              <w:jc w:val="center"/>
              <w:rPr>
                <w:sz w:val="21"/>
              </w:rPr>
            </w:pPr>
            <w:r>
              <w:rPr>
                <w:sz w:val="21"/>
              </w:rPr>
              <w:t>竖向分区(个)</w:t>
            </w:r>
          </w:p>
        </w:tc>
        <w:tc>
          <w:tcPr>
            <w:tcW w:w="3757" w:type="dxa"/>
            <w:gridSpan w:val="3"/>
          </w:tcPr>
          <w:p>
            <w:pPr>
              <w:pStyle w:val="TableParagraph"/>
              <w:rPr>
                <w:rFonts w:ascii="Times New Roman"/>
                <w:sz w:val="20"/>
              </w:rPr>
            </w:pPr>
          </w:p>
        </w:tc>
      </w:tr>
      <w:tr>
        <w:trPr>
          <w:trHeight w:val="439" w:hRule="atLeast"/>
        </w:trPr>
        <w:tc>
          <w:tcPr>
            <w:tcW w:w="2590" w:type="dxa"/>
          </w:tcPr>
          <w:p>
            <w:pPr>
              <w:pStyle w:val="TableParagraph"/>
              <w:spacing w:before="100"/>
              <w:ind w:left="435" w:right="423"/>
              <w:jc w:val="center"/>
              <w:rPr>
                <w:sz w:val="21"/>
              </w:rPr>
            </w:pPr>
            <w:r>
              <w:rPr>
                <w:sz w:val="21"/>
              </w:rPr>
              <w:t>喷淋泵数(个)</w:t>
            </w:r>
          </w:p>
        </w:tc>
        <w:tc>
          <w:tcPr>
            <w:tcW w:w="1249" w:type="dxa"/>
          </w:tcPr>
          <w:p>
            <w:pPr>
              <w:pStyle w:val="TableParagraph"/>
              <w:rPr>
                <w:rFonts w:ascii="Times New Roman"/>
                <w:sz w:val="20"/>
              </w:rPr>
            </w:pPr>
          </w:p>
        </w:tc>
        <w:tc>
          <w:tcPr>
            <w:tcW w:w="2079" w:type="dxa"/>
          </w:tcPr>
          <w:p>
            <w:pPr>
              <w:pStyle w:val="TableParagraph"/>
              <w:tabs>
                <w:tab w:pos="744" w:val="left" w:leader="none"/>
              </w:tabs>
              <w:spacing w:before="100"/>
              <w:ind w:left="8"/>
              <w:jc w:val="center"/>
              <w:rPr>
                <w:sz w:val="21"/>
              </w:rPr>
            </w:pPr>
            <w:r>
              <w:rPr>
                <w:sz w:val="21"/>
              </w:rPr>
              <w:t>流量</w:t>
              <w:tab/>
              <w:t>(L/S)</w:t>
            </w:r>
          </w:p>
        </w:tc>
        <w:tc>
          <w:tcPr>
            <w:tcW w:w="1126" w:type="dxa"/>
          </w:tcPr>
          <w:p>
            <w:pPr>
              <w:pStyle w:val="TableParagraph"/>
              <w:rPr>
                <w:rFonts w:ascii="Times New Roman"/>
                <w:sz w:val="20"/>
              </w:rPr>
            </w:pPr>
          </w:p>
        </w:tc>
        <w:tc>
          <w:tcPr>
            <w:tcW w:w="1383" w:type="dxa"/>
          </w:tcPr>
          <w:p>
            <w:pPr>
              <w:pStyle w:val="TableParagraph"/>
              <w:spacing w:before="100"/>
              <w:ind w:left="303" w:right="294"/>
              <w:jc w:val="center"/>
              <w:rPr>
                <w:sz w:val="21"/>
              </w:rPr>
            </w:pPr>
            <w:r>
              <w:rPr>
                <w:sz w:val="21"/>
              </w:rPr>
              <w:t>扬程(m)</w:t>
            </w:r>
          </w:p>
        </w:tc>
        <w:tc>
          <w:tcPr>
            <w:tcW w:w="1248" w:type="dxa"/>
          </w:tcPr>
          <w:p>
            <w:pPr>
              <w:pStyle w:val="TableParagraph"/>
              <w:rPr>
                <w:rFonts w:ascii="Times New Roman"/>
                <w:sz w:val="20"/>
              </w:rPr>
            </w:pPr>
          </w:p>
        </w:tc>
      </w:tr>
      <w:tr>
        <w:trPr>
          <w:trHeight w:val="436" w:hRule="atLeast"/>
        </w:trPr>
        <w:tc>
          <w:tcPr>
            <w:tcW w:w="2590" w:type="dxa"/>
          </w:tcPr>
          <w:p>
            <w:pPr>
              <w:pStyle w:val="TableParagraph"/>
              <w:spacing w:before="97"/>
              <w:ind w:left="435" w:right="423"/>
              <w:jc w:val="center"/>
              <w:rPr>
                <w:sz w:val="21"/>
              </w:rPr>
            </w:pPr>
            <w:r>
              <w:rPr>
                <w:sz w:val="21"/>
              </w:rPr>
              <w:t>稳压泵量(个)</w:t>
            </w:r>
          </w:p>
        </w:tc>
        <w:tc>
          <w:tcPr>
            <w:tcW w:w="1249" w:type="dxa"/>
          </w:tcPr>
          <w:p>
            <w:pPr>
              <w:pStyle w:val="TableParagraph"/>
              <w:rPr>
                <w:rFonts w:ascii="Times New Roman"/>
                <w:sz w:val="20"/>
              </w:rPr>
            </w:pPr>
          </w:p>
        </w:tc>
        <w:tc>
          <w:tcPr>
            <w:tcW w:w="2079" w:type="dxa"/>
          </w:tcPr>
          <w:p>
            <w:pPr>
              <w:pStyle w:val="TableParagraph"/>
              <w:tabs>
                <w:tab w:pos="744" w:val="left" w:leader="none"/>
              </w:tabs>
              <w:spacing w:before="97"/>
              <w:ind w:left="8"/>
              <w:jc w:val="center"/>
              <w:rPr>
                <w:sz w:val="21"/>
              </w:rPr>
            </w:pPr>
            <w:r>
              <w:rPr>
                <w:sz w:val="21"/>
              </w:rPr>
              <w:t>流量</w:t>
              <w:tab/>
              <w:t>(L/S)</w:t>
            </w:r>
          </w:p>
        </w:tc>
        <w:tc>
          <w:tcPr>
            <w:tcW w:w="1126" w:type="dxa"/>
          </w:tcPr>
          <w:p>
            <w:pPr>
              <w:pStyle w:val="TableParagraph"/>
              <w:rPr>
                <w:rFonts w:ascii="Times New Roman"/>
                <w:sz w:val="20"/>
              </w:rPr>
            </w:pPr>
          </w:p>
        </w:tc>
        <w:tc>
          <w:tcPr>
            <w:tcW w:w="1383" w:type="dxa"/>
          </w:tcPr>
          <w:p>
            <w:pPr>
              <w:pStyle w:val="TableParagraph"/>
              <w:spacing w:before="97"/>
              <w:ind w:left="303" w:right="294"/>
              <w:jc w:val="center"/>
              <w:rPr>
                <w:sz w:val="21"/>
              </w:rPr>
            </w:pPr>
            <w:r>
              <w:rPr>
                <w:sz w:val="21"/>
              </w:rPr>
              <w:t>扬程(m)</w:t>
            </w:r>
          </w:p>
        </w:tc>
        <w:tc>
          <w:tcPr>
            <w:tcW w:w="1248" w:type="dxa"/>
          </w:tcPr>
          <w:p>
            <w:pPr>
              <w:pStyle w:val="TableParagraph"/>
              <w:rPr>
                <w:rFonts w:ascii="Times New Roman"/>
                <w:sz w:val="20"/>
              </w:rPr>
            </w:pPr>
          </w:p>
        </w:tc>
      </w:tr>
      <w:tr>
        <w:trPr>
          <w:trHeight w:val="438" w:hRule="atLeast"/>
        </w:trPr>
        <w:tc>
          <w:tcPr>
            <w:tcW w:w="2590" w:type="dxa"/>
          </w:tcPr>
          <w:p>
            <w:pPr>
              <w:pStyle w:val="TableParagraph"/>
              <w:spacing w:before="89"/>
              <w:ind w:left="435" w:right="423"/>
              <w:jc w:val="center"/>
              <w:rPr>
                <w:sz w:val="21"/>
              </w:rPr>
            </w:pPr>
            <w:r>
              <w:rPr>
                <w:sz w:val="21"/>
              </w:rPr>
              <w:t>屋顶水箱容量(m</w:t>
            </w:r>
            <w:r>
              <w:rPr>
                <w:position w:val="11"/>
                <w:sz w:val="11"/>
              </w:rPr>
              <w:t>3</w:t>
            </w:r>
            <w:r>
              <w:rPr>
                <w:sz w:val="21"/>
              </w:rPr>
              <w:t>)</w:t>
            </w:r>
          </w:p>
        </w:tc>
        <w:tc>
          <w:tcPr>
            <w:tcW w:w="7085" w:type="dxa"/>
            <w:gridSpan w:val="5"/>
          </w:tcPr>
          <w:p>
            <w:pPr>
              <w:pStyle w:val="TableParagraph"/>
              <w:rPr>
                <w:rFonts w:ascii="Times New Roman"/>
                <w:sz w:val="20"/>
              </w:rPr>
            </w:pPr>
          </w:p>
        </w:tc>
      </w:tr>
      <w:tr>
        <w:trPr>
          <w:trHeight w:val="861" w:hRule="atLeast"/>
        </w:trPr>
        <w:tc>
          <w:tcPr>
            <w:tcW w:w="2590" w:type="dxa"/>
          </w:tcPr>
          <w:p>
            <w:pPr>
              <w:pStyle w:val="TableParagraph"/>
              <w:spacing w:before="3"/>
              <w:rPr>
                <w:rFonts w:ascii="黑体"/>
                <w:sz w:val="24"/>
              </w:rPr>
            </w:pPr>
          </w:p>
          <w:p>
            <w:pPr>
              <w:pStyle w:val="TableParagraph"/>
              <w:ind w:left="435" w:right="425"/>
              <w:jc w:val="center"/>
              <w:rPr>
                <w:sz w:val="21"/>
              </w:rPr>
            </w:pPr>
            <w:r>
              <w:rPr>
                <w:sz w:val="21"/>
              </w:rPr>
              <w:t>系统形式</w:t>
            </w:r>
          </w:p>
        </w:tc>
        <w:tc>
          <w:tcPr>
            <w:tcW w:w="7085" w:type="dxa"/>
            <w:gridSpan w:val="5"/>
          </w:tcPr>
          <w:p>
            <w:pPr>
              <w:pStyle w:val="TableParagraph"/>
              <w:spacing w:before="162"/>
              <w:ind w:left="1424" w:right="1411"/>
              <w:jc w:val="center"/>
              <w:rPr>
                <w:sz w:val="21"/>
              </w:rPr>
            </w:pPr>
            <w:r>
              <w:rPr>
                <w:sz w:val="21"/>
              </w:rPr>
              <w:t>(湿式)(干式)(泡沫喷淋)(预作用)</w:t>
            </w:r>
          </w:p>
          <w:p>
            <w:pPr>
              <w:pStyle w:val="TableParagraph"/>
              <w:spacing w:before="31"/>
              <w:ind w:left="1424" w:right="1411"/>
              <w:jc w:val="center"/>
              <w:rPr>
                <w:sz w:val="21"/>
              </w:rPr>
            </w:pPr>
            <w:r>
              <w:rPr>
                <w:sz w:val="21"/>
              </w:rPr>
              <w:t>(重复启闭预作用)(水喷雾)(雨淋)(其他水幕)</w:t>
            </w:r>
          </w:p>
        </w:tc>
      </w:tr>
      <w:tr>
        <w:trPr>
          <w:trHeight w:val="438" w:hRule="atLeast"/>
        </w:trPr>
        <w:tc>
          <w:tcPr>
            <w:tcW w:w="2590" w:type="dxa"/>
          </w:tcPr>
          <w:p>
            <w:pPr>
              <w:pStyle w:val="TableParagraph"/>
              <w:spacing w:before="99"/>
              <w:ind w:left="435" w:right="425"/>
              <w:jc w:val="center"/>
              <w:rPr>
                <w:sz w:val="21"/>
              </w:rPr>
            </w:pPr>
            <w:r>
              <w:rPr>
                <w:sz w:val="21"/>
              </w:rPr>
              <w:t>系统状态</w:t>
            </w:r>
          </w:p>
        </w:tc>
        <w:tc>
          <w:tcPr>
            <w:tcW w:w="7085" w:type="dxa"/>
            <w:gridSpan w:val="5"/>
          </w:tcPr>
          <w:p>
            <w:pPr>
              <w:pStyle w:val="TableParagraph"/>
              <w:spacing w:before="99"/>
              <w:ind w:left="1422" w:right="1411"/>
              <w:jc w:val="center"/>
              <w:rPr>
                <w:sz w:val="21"/>
              </w:rPr>
            </w:pPr>
            <w:r>
              <w:rPr>
                <w:sz w:val="21"/>
              </w:rPr>
              <w:t>(正常)(不正常)(不能使用)</w:t>
            </w:r>
          </w:p>
        </w:tc>
      </w:tr>
      <w:tr>
        <w:trPr>
          <w:trHeight w:val="438" w:hRule="atLeast"/>
        </w:trPr>
        <w:tc>
          <w:tcPr>
            <w:tcW w:w="2590" w:type="dxa"/>
          </w:tcPr>
          <w:p>
            <w:pPr>
              <w:pStyle w:val="TableParagraph"/>
              <w:spacing w:before="99"/>
              <w:ind w:left="435" w:right="425"/>
              <w:jc w:val="center"/>
              <w:rPr>
                <w:sz w:val="21"/>
              </w:rPr>
            </w:pPr>
            <w:r>
              <w:rPr>
                <w:sz w:val="21"/>
              </w:rPr>
              <w:t>责任部门</w:t>
            </w:r>
          </w:p>
        </w:tc>
        <w:tc>
          <w:tcPr>
            <w:tcW w:w="1249" w:type="dxa"/>
          </w:tcPr>
          <w:p>
            <w:pPr>
              <w:pStyle w:val="TableParagraph"/>
              <w:rPr>
                <w:rFonts w:ascii="Times New Roman"/>
                <w:sz w:val="20"/>
              </w:rPr>
            </w:pPr>
          </w:p>
        </w:tc>
        <w:tc>
          <w:tcPr>
            <w:tcW w:w="2079" w:type="dxa"/>
          </w:tcPr>
          <w:p>
            <w:pPr>
              <w:pStyle w:val="TableParagraph"/>
              <w:spacing w:before="99"/>
              <w:ind w:left="8"/>
              <w:jc w:val="center"/>
              <w:rPr>
                <w:sz w:val="21"/>
              </w:rPr>
            </w:pPr>
            <w:r>
              <w:rPr>
                <w:sz w:val="21"/>
              </w:rPr>
              <w:t>责任人</w:t>
            </w:r>
          </w:p>
        </w:tc>
        <w:tc>
          <w:tcPr>
            <w:tcW w:w="3757" w:type="dxa"/>
            <w:gridSpan w:val="3"/>
          </w:tcPr>
          <w:p>
            <w:pPr>
              <w:pStyle w:val="TableParagraph"/>
              <w:rPr>
                <w:rFonts w:ascii="Times New Roman"/>
                <w:sz w:val="20"/>
              </w:rPr>
            </w:pPr>
          </w:p>
        </w:tc>
      </w:tr>
      <w:tr>
        <w:trPr>
          <w:trHeight w:val="451" w:hRule="atLeast"/>
        </w:trPr>
        <w:tc>
          <w:tcPr>
            <w:tcW w:w="2590" w:type="dxa"/>
          </w:tcPr>
          <w:p>
            <w:pPr>
              <w:pStyle w:val="TableParagraph"/>
              <w:spacing w:before="104"/>
              <w:ind w:left="435" w:right="423"/>
              <w:jc w:val="center"/>
              <w:rPr>
                <w:sz w:val="21"/>
              </w:rPr>
            </w:pPr>
            <w:r>
              <w:rPr>
                <w:sz w:val="21"/>
              </w:rPr>
              <w:t>维修保养单位</w:t>
            </w:r>
          </w:p>
        </w:tc>
        <w:tc>
          <w:tcPr>
            <w:tcW w:w="7085" w:type="dxa"/>
            <w:gridSpan w:val="5"/>
          </w:tcPr>
          <w:p>
            <w:pPr>
              <w:pStyle w:val="TableParagraph"/>
              <w:rPr>
                <w:rFonts w:ascii="Times New Roman"/>
                <w:sz w:val="20"/>
              </w:rPr>
            </w:pPr>
          </w:p>
        </w:tc>
      </w:tr>
    </w:tbl>
    <w:p>
      <w:pPr>
        <w:spacing w:after="0"/>
        <w:rPr>
          <w:rFonts w:ascii="Times New Roman"/>
          <w:sz w:val="20"/>
        </w:rPr>
        <w:sectPr>
          <w:footerReference w:type="even" r:id="rId28"/>
          <w:footerReference w:type="default" r:id="rId29"/>
          <w:pgSz w:w="11910" w:h="8400" w:orient="landscape"/>
          <w:pgMar w:footer="836" w:header="0" w:top="740" w:bottom="1020" w:left="880" w:right="880"/>
          <w:pgNumType w:start="38"/>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气体灭火系统</w:t>
      </w: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6"/>
        <w:gridCol w:w="2194"/>
        <w:gridCol w:w="2199"/>
        <w:gridCol w:w="552"/>
        <w:gridCol w:w="2211"/>
      </w:tblGrid>
      <w:tr>
        <w:trPr>
          <w:trHeight w:val="491" w:hRule="atLeast"/>
        </w:trPr>
        <w:tc>
          <w:tcPr>
            <w:tcW w:w="2326" w:type="dxa"/>
          </w:tcPr>
          <w:p>
            <w:pPr>
              <w:pStyle w:val="TableParagraph"/>
              <w:spacing w:before="169"/>
              <w:ind w:left="252" w:right="237"/>
              <w:jc w:val="center"/>
              <w:rPr>
                <w:sz w:val="21"/>
              </w:rPr>
            </w:pPr>
            <w:r>
              <w:rPr>
                <w:sz w:val="21"/>
              </w:rPr>
              <w:t>药剂种类</w:t>
            </w:r>
          </w:p>
        </w:tc>
        <w:tc>
          <w:tcPr>
            <w:tcW w:w="2194" w:type="dxa"/>
          </w:tcPr>
          <w:p>
            <w:pPr>
              <w:pStyle w:val="TableParagraph"/>
              <w:rPr>
                <w:rFonts w:ascii="Times New Roman"/>
                <w:sz w:val="20"/>
              </w:rPr>
            </w:pPr>
          </w:p>
        </w:tc>
        <w:tc>
          <w:tcPr>
            <w:tcW w:w="2199" w:type="dxa"/>
          </w:tcPr>
          <w:p>
            <w:pPr>
              <w:pStyle w:val="TableParagraph"/>
              <w:spacing w:before="169"/>
              <w:ind w:left="239" w:right="228"/>
              <w:jc w:val="center"/>
              <w:rPr>
                <w:sz w:val="21"/>
              </w:rPr>
            </w:pPr>
            <w:r>
              <w:rPr>
                <w:sz w:val="21"/>
              </w:rPr>
              <w:t>灭火形式</w:t>
            </w:r>
          </w:p>
        </w:tc>
        <w:tc>
          <w:tcPr>
            <w:tcW w:w="2763" w:type="dxa"/>
            <w:gridSpan w:val="2"/>
          </w:tcPr>
          <w:p>
            <w:pPr>
              <w:pStyle w:val="TableParagraph"/>
              <w:spacing w:before="169"/>
              <w:ind w:left="436"/>
              <w:rPr>
                <w:sz w:val="21"/>
              </w:rPr>
            </w:pPr>
            <w:r>
              <w:rPr>
                <w:sz w:val="21"/>
              </w:rPr>
              <w:t>(全淹没)(局部应用)</w:t>
            </w:r>
          </w:p>
        </w:tc>
      </w:tr>
      <w:tr>
        <w:trPr>
          <w:trHeight w:val="475" w:hRule="atLeast"/>
        </w:trPr>
        <w:tc>
          <w:tcPr>
            <w:tcW w:w="2326" w:type="dxa"/>
          </w:tcPr>
          <w:p>
            <w:pPr>
              <w:pStyle w:val="TableParagraph"/>
              <w:spacing w:before="162"/>
              <w:ind w:left="252" w:right="237"/>
              <w:jc w:val="center"/>
              <w:rPr>
                <w:sz w:val="21"/>
              </w:rPr>
            </w:pPr>
            <w:r>
              <w:rPr>
                <w:sz w:val="21"/>
              </w:rPr>
              <w:t>系统形式</w:t>
            </w:r>
          </w:p>
        </w:tc>
        <w:tc>
          <w:tcPr>
            <w:tcW w:w="2194" w:type="dxa"/>
          </w:tcPr>
          <w:p>
            <w:pPr>
              <w:pStyle w:val="TableParagraph"/>
              <w:rPr>
                <w:rFonts w:ascii="Times New Roman"/>
                <w:sz w:val="20"/>
              </w:rPr>
            </w:pPr>
          </w:p>
        </w:tc>
        <w:tc>
          <w:tcPr>
            <w:tcW w:w="2199" w:type="dxa"/>
          </w:tcPr>
          <w:p>
            <w:pPr>
              <w:pStyle w:val="TableParagraph"/>
              <w:spacing w:before="162"/>
              <w:ind w:left="239" w:right="228"/>
              <w:jc w:val="center"/>
              <w:rPr>
                <w:sz w:val="21"/>
              </w:rPr>
            </w:pPr>
            <w:r>
              <w:rPr>
                <w:sz w:val="21"/>
              </w:rPr>
              <w:t>瓶库位置</w:t>
            </w:r>
          </w:p>
        </w:tc>
        <w:tc>
          <w:tcPr>
            <w:tcW w:w="2763" w:type="dxa"/>
            <w:gridSpan w:val="2"/>
          </w:tcPr>
          <w:p>
            <w:pPr>
              <w:pStyle w:val="TableParagraph"/>
              <w:rPr>
                <w:rFonts w:ascii="Times New Roman"/>
                <w:sz w:val="20"/>
              </w:rPr>
            </w:pPr>
          </w:p>
        </w:tc>
      </w:tr>
      <w:tr>
        <w:trPr>
          <w:trHeight w:val="474" w:hRule="atLeast"/>
        </w:trPr>
        <w:tc>
          <w:tcPr>
            <w:tcW w:w="2326" w:type="dxa"/>
          </w:tcPr>
          <w:p>
            <w:pPr>
              <w:pStyle w:val="TableParagraph"/>
              <w:spacing w:before="161"/>
              <w:ind w:left="252" w:right="238"/>
              <w:jc w:val="center"/>
              <w:rPr>
                <w:sz w:val="21"/>
              </w:rPr>
            </w:pPr>
            <w:r>
              <w:rPr>
                <w:sz w:val="21"/>
              </w:rPr>
              <w:t>钢瓶(一)数量(只)</w:t>
            </w:r>
          </w:p>
        </w:tc>
        <w:tc>
          <w:tcPr>
            <w:tcW w:w="2194" w:type="dxa"/>
          </w:tcPr>
          <w:p>
            <w:pPr>
              <w:pStyle w:val="TableParagraph"/>
              <w:rPr>
                <w:rFonts w:ascii="Times New Roman"/>
                <w:sz w:val="20"/>
              </w:rPr>
            </w:pPr>
          </w:p>
        </w:tc>
        <w:tc>
          <w:tcPr>
            <w:tcW w:w="2199" w:type="dxa"/>
          </w:tcPr>
          <w:p>
            <w:pPr>
              <w:pStyle w:val="TableParagraph"/>
              <w:spacing w:before="161"/>
              <w:ind w:left="240" w:right="228"/>
              <w:jc w:val="center"/>
              <w:rPr>
                <w:sz w:val="21"/>
              </w:rPr>
            </w:pPr>
            <w:r>
              <w:rPr>
                <w:sz w:val="21"/>
              </w:rPr>
              <w:t>单个钢瓶容量 (L)</w:t>
            </w:r>
          </w:p>
        </w:tc>
        <w:tc>
          <w:tcPr>
            <w:tcW w:w="2763" w:type="dxa"/>
            <w:gridSpan w:val="2"/>
          </w:tcPr>
          <w:p>
            <w:pPr>
              <w:pStyle w:val="TableParagraph"/>
              <w:rPr>
                <w:rFonts w:ascii="Times New Roman"/>
                <w:sz w:val="20"/>
              </w:rPr>
            </w:pPr>
          </w:p>
        </w:tc>
      </w:tr>
      <w:tr>
        <w:trPr>
          <w:trHeight w:val="494" w:hRule="atLeast"/>
        </w:trPr>
        <w:tc>
          <w:tcPr>
            <w:tcW w:w="2326" w:type="dxa"/>
          </w:tcPr>
          <w:p>
            <w:pPr>
              <w:pStyle w:val="TableParagraph"/>
              <w:spacing w:before="169"/>
              <w:ind w:left="252" w:right="238"/>
              <w:jc w:val="center"/>
              <w:rPr>
                <w:sz w:val="21"/>
              </w:rPr>
            </w:pPr>
            <w:r>
              <w:rPr>
                <w:sz w:val="21"/>
              </w:rPr>
              <w:t>钢瓶(二)数量(只)</w:t>
            </w:r>
          </w:p>
        </w:tc>
        <w:tc>
          <w:tcPr>
            <w:tcW w:w="2194" w:type="dxa"/>
          </w:tcPr>
          <w:p>
            <w:pPr>
              <w:pStyle w:val="TableParagraph"/>
              <w:rPr>
                <w:rFonts w:ascii="Times New Roman"/>
                <w:sz w:val="20"/>
              </w:rPr>
            </w:pPr>
          </w:p>
        </w:tc>
        <w:tc>
          <w:tcPr>
            <w:tcW w:w="2199" w:type="dxa"/>
          </w:tcPr>
          <w:p>
            <w:pPr>
              <w:pStyle w:val="TableParagraph"/>
              <w:spacing w:before="169"/>
              <w:ind w:left="240" w:right="228"/>
              <w:jc w:val="center"/>
              <w:rPr>
                <w:sz w:val="21"/>
              </w:rPr>
            </w:pPr>
            <w:r>
              <w:rPr>
                <w:sz w:val="21"/>
              </w:rPr>
              <w:t>单个钢瓶容量 (L)</w:t>
            </w:r>
          </w:p>
        </w:tc>
        <w:tc>
          <w:tcPr>
            <w:tcW w:w="2763" w:type="dxa"/>
            <w:gridSpan w:val="2"/>
          </w:tcPr>
          <w:p>
            <w:pPr>
              <w:pStyle w:val="TableParagraph"/>
              <w:rPr>
                <w:rFonts w:ascii="Times New Roman"/>
                <w:sz w:val="20"/>
              </w:rPr>
            </w:pPr>
          </w:p>
        </w:tc>
      </w:tr>
      <w:tr>
        <w:trPr>
          <w:trHeight w:val="938" w:hRule="atLeast"/>
        </w:trPr>
        <w:tc>
          <w:tcPr>
            <w:tcW w:w="2326" w:type="dxa"/>
          </w:tcPr>
          <w:p>
            <w:pPr>
              <w:pStyle w:val="TableParagraph"/>
              <w:rPr>
                <w:rFonts w:ascii="黑体"/>
                <w:sz w:val="20"/>
              </w:rPr>
            </w:pPr>
          </w:p>
          <w:p>
            <w:pPr>
              <w:pStyle w:val="TableParagraph"/>
              <w:spacing w:before="136"/>
              <w:ind w:left="252" w:right="237"/>
              <w:jc w:val="center"/>
              <w:rPr>
                <w:sz w:val="21"/>
              </w:rPr>
            </w:pPr>
            <w:r>
              <w:rPr>
                <w:sz w:val="21"/>
              </w:rPr>
              <w:t>系统状态</w:t>
            </w:r>
          </w:p>
        </w:tc>
        <w:tc>
          <w:tcPr>
            <w:tcW w:w="2194" w:type="dxa"/>
          </w:tcPr>
          <w:p>
            <w:pPr>
              <w:pStyle w:val="TableParagraph"/>
              <w:spacing w:line="440" w:lineRule="atLeast"/>
              <w:ind w:left="571" w:right="335" w:hanging="212"/>
              <w:rPr>
                <w:sz w:val="21"/>
              </w:rPr>
            </w:pPr>
            <w:r>
              <w:rPr>
                <w:sz w:val="21"/>
              </w:rPr>
              <w:t>(正常)(不正常) (不能使用)</w:t>
            </w:r>
          </w:p>
        </w:tc>
        <w:tc>
          <w:tcPr>
            <w:tcW w:w="2199" w:type="dxa"/>
          </w:tcPr>
          <w:p>
            <w:pPr>
              <w:pStyle w:val="TableParagraph"/>
              <w:rPr>
                <w:rFonts w:ascii="黑体"/>
                <w:sz w:val="20"/>
              </w:rPr>
            </w:pPr>
          </w:p>
          <w:p>
            <w:pPr>
              <w:pStyle w:val="TableParagraph"/>
              <w:spacing w:before="136"/>
              <w:ind w:left="240" w:right="226"/>
              <w:jc w:val="center"/>
              <w:rPr>
                <w:sz w:val="21"/>
              </w:rPr>
            </w:pPr>
            <w:r>
              <w:rPr>
                <w:sz w:val="21"/>
              </w:rPr>
              <w:t>喷头数量(只)</w:t>
            </w:r>
          </w:p>
        </w:tc>
        <w:tc>
          <w:tcPr>
            <w:tcW w:w="2763" w:type="dxa"/>
            <w:gridSpan w:val="2"/>
          </w:tcPr>
          <w:p>
            <w:pPr>
              <w:pStyle w:val="TableParagraph"/>
              <w:rPr>
                <w:rFonts w:ascii="Times New Roman"/>
                <w:sz w:val="20"/>
              </w:rPr>
            </w:pPr>
          </w:p>
        </w:tc>
      </w:tr>
      <w:tr>
        <w:trPr>
          <w:trHeight w:val="474" w:hRule="atLeast"/>
        </w:trPr>
        <w:tc>
          <w:tcPr>
            <w:tcW w:w="2326" w:type="dxa"/>
          </w:tcPr>
          <w:p>
            <w:pPr>
              <w:pStyle w:val="TableParagraph"/>
              <w:spacing w:before="159"/>
              <w:ind w:left="252" w:right="238"/>
              <w:jc w:val="center"/>
              <w:rPr>
                <w:sz w:val="21"/>
              </w:rPr>
            </w:pPr>
            <w:r>
              <w:rPr>
                <w:sz w:val="21"/>
              </w:rPr>
              <w:t>动作方式:</w:t>
            </w:r>
          </w:p>
        </w:tc>
        <w:tc>
          <w:tcPr>
            <w:tcW w:w="7156" w:type="dxa"/>
            <w:gridSpan w:val="4"/>
          </w:tcPr>
          <w:p>
            <w:pPr>
              <w:pStyle w:val="TableParagraph"/>
              <w:spacing w:before="159"/>
              <w:ind w:left="2089" w:right="2077"/>
              <w:jc w:val="center"/>
              <w:rPr>
                <w:sz w:val="21"/>
              </w:rPr>
            </w:pPr>
            <w:r>
              <w:rPr>
                <w:sz w:val="21"/>
              </w:rPr>
              <w:t>(自动) (手动) (机械应急手动)</w:t>
            </w:r>
          </w:p>
        </w:tc>
      </w:tr>
      <w:tr>
        <w:trPr>
          <w:trHeight w:val="472" w:hRule="atLeast"/>
        </w:trPr>
        <w:tc>
          <w:tcPr>
            <w:tcW w:w="2326" w:type="dxa"/>
            <w:tcBorders>
              <w:bottom w:val="single" w:sz="6" w:space="0" w:color="000000"/>
            </w:tcBorders>
          </w:tcPr>
          <w:p>
            <w:pPr>
              <w:pStyle w:val="TableParagraph"/>
              <w:spacing w:before="159"/>
              <w:ind w:left="252" w:right="238"/>
              <w:jc w:val="center"/>
              <w:rPr>
                <w:sz w:val="21"/>
              </w:rPr>
            </w:pPr>
            <w:r>
              <w:rPr>
                <w:sz w:val="21"/>
              </w:rPr>
              <w:t>责任部门及责任人:</w:t>
            </w:r>
          </w:p>
        </w:tc>
        <w:tc>
          <w:tcPr>
            <w:tcW w:w="7156" w:type="dxa"/>
            <w:gridSpan w:val="4"/>
            <w:tcBorders>
              <w:bottom w:val="single" w:sz="6" w:space="0" w:color="000000"/>
            </w:tcBorders>
          </w:tcPr>
          <w:p>
            <w:pPr>
              <w:pStyle w:val="TableParagraph"/>
              <w:rPr>
                <w:rFonts w:ascii="Times New Roman"/>
                <w:sz w:val="20"/>
              </w:rPr>
            </w:pPr>
          </w:p>
        </w:tc>
      </w:tr>
      <w:tr>
        <w:trPr>
          <w:trHeight w:val="491" w:hRule="atLeast"/>
        </w:trPr>
        <w:tc>
          <w:tcPr>
            <w:tcW w:w="2326" w:type="dxa"/>
            <w:tcBorders>
              <w:top w:val="single" w:sz="6" w:space="0" w:color="000000"/>
            </w:tcBorders>
          </w:tcPr>
          <w:p>
            <w:pPr>
              <w:pStyle w:val="TableParagraph"/>
              <w:spacing w:before="166"/>
              <w:ind w:left="250" w:right="238"/>
              <w:jc w:val="center"/>
              <w:rPr>
                <w:sz w:val="21"/>
              </w:rPr>
            </w:pPr>
            <w:r>
              <w:rPr>
                <w:sz w:val="21"/>
              </w:rPr>
              <w:t>维修保养单位</w:t>
            </w:r>
          </w:p>
        </w:tc>
        <w:tc>
          <w:tcPr>
            <w:tcW w:w="7156" w:type="dxa"/>
            <w:gridSpan w:val="4"/>
            <w:tcBorders>
              <w:top w:val="single" w:sz="6" w:space="0" w:color="000000"/>
            </w:tcBorders>
          </w:tcPr>
          <w:p>
            <w:pPr>
              <w:pStyle w:val="TableParagraph"/>
              <w:rPr>
                <w:rFonts w:ascii="Times New Roman"/>
                <w:sz w:val="20"/>
              </w:rPr>
            </w:pPr>
          </w:p>
        </w:tc>
      </w:tr>
      <w:tr>
        <w:trPr>
          <w:trHeight w:val="474" w:hRule="atLeast"/>
        </w:trPr>
        <w:tc>
          <w:tcPr>
            <w:tcW w:w="2326" w:type="dxa"/>
          </w:tcPr>
          <w:p>
            <w:pPr>
              <w:pStyle w:val="TableParagraph"/>
              <w:spacing w:before="159"/>
              <w:ind w:left="250" w:right="238"/>
              <w:jc w:val="center"/>
              <w:rPr>
                <w:sz w:val="21"/>
              </w:rPr>
            </w:pPr>
            <w:r>
              <w:rPr>
                <w:sz w:val="21"/>
              </w:rPr>
              <w:t>防护区部位 1</w:t>
            </w:r>
          </w:p>
        </w:tc>
        <w:tc>
          <w:tcPr>
            <w:tcW w:w="2194" w:type="dxa"/>
          </w:tcPr>
          <w:p>
            <w:pPr>
              <w:pStyle w:val="TableParagraph"/>
              <w:rPr>
                <w:rFonts w:ascii="Times New Roman"/>
                <w:sz w:val="20"/>
              </w:rPr>
            </w:pPr>
          </w:p>
        </w:tc>
        <w:tc>
          <w:tcPr>
            <w:tcW w:w="2751" w:type="dxa"/>
            <w:gridSpan w:val="2"/>
          </w:tcPr>
          <w:p>
            <w:pPr>
              <w:pStyle w:val="TableParagraph"/>
              <w:spacing w:before="149"/>
              <w:ind w:left="585"/>
              <w:rPr>
                <w:sz w:val="21"/>
              </w:rPr>
            </w:pPr>
            <w:r>
              <w:rPr>
                <w:sz w:val="21"/>
              </w:rPr>
              <w:t>防护区容积 1(m</w:t>
            </w:r>
            <w:r>
              <w:rPr>
                <w:position w:val="11"/>
                <w:sz w:val="11"/>
              </w:rPr>
              <w:t>3</w:t>
            </w:r>
            <w:r>
              <w:rPr>
                <w:sz w:val="21"/>
              </w:rPr>
              <w:t>)</w:t>
            </w:r>
          </w:p>
        </w:tc>
        <w:tc>
          <w:tcPr>
            <w:tcW w:w="2211" w:type="dxa"/>
          </w:tcPr>
          <w:p>
            <w:pPr>
              <w:pStyle w:val="TableParagraph"/>
              <w:rPr>
                <w:rFonts w:ascii="Times New Roman"/>
                <w:sz w:val="20"/>
              </w:rPr>
            </w:pPr>
          </w:p>
        </w:tc>
      </w:tr>
      <w:tr>
        <w:trPr>
          <w:trHeight w:val="518" w:hRule="atLeast"/>
        </w:trPr>
        <w:tc>
          <w:tcPr>
            <w:tcW w:w="2326" w:type="dxa"/>
            <w:tcBorders>
              <w:bottom w:val="single" w:sz="6" w:space="0" w:color="000000"/>
            </w:tcBorders>
          </w:tcPr>
          <w:p>
            <w:pPr>
              <w:pStyle w:val="TableParagraph"/>
              <w:spacing w:before="3"/>
              <w:rPr>
                <w:rFonts w:ascii="黑体"/>
                <w:sz w:val="14"/>
              </w:rPr>
            </w:pPr>
          </w:p>
          <w:p>
            <w:pPr>
              <w:pStyle w:val="TableParagraph"/>
              <w:spacing w:before="1"/>
              <w:ind w:left="250" w:right="238"/>
              <w:jc w:val="center"/>
              <w:rPr>
                <w:sz w:val="21"/>
              </w:rPr>
            </w:pPr>
            <w:r>
              <w:rPr>
                <w:sz w:val="21"/>
              </w:rPr>
              <w:t>防护区部位 2</w:t>
            </w:r>
          </w:p>
        </w:tc>
        <w:tc>
          <w:tcPr>
            <w:tcW w:w="2194" w:type="dxa"/>
            <w:tcBorders>
              <w:bottom w:val="single" w:sz="6" w:space="0" w:color="000000"/>
            </w:tcBorders>
          </w:tcPr>
          <w:p>
            <w:pPr>
              <w:pStyle w:val="TableParagraph"/>
              <w:rPr>
                <w:rFonts w:ascii="Times New Roman"/>
                <w:sz w:val="20"/>
              </w:rPr>
            </w:pPr>
          </w:p>
        </w:tc>
        <w:tc>
          <w:tcPr>
            <w:tcW w:w="2751" w:type="dxa"/>
            <w:gridSpan w:val="2"/>
            <w:tcBorders>
              <w:bottom w:val="single" w:sz="6" w:space="0" w:color="000000"/>
            </w:tcBorders>
          </w:tcPr>
          <w:p>
            <w:pPr>
              <w:pStyle w:val="TableParagraph"/>
              <w:spacing w:before="173"/>
              <w:ind w:left="585"/>
              <w:rPr>
                <w:sz w:val="21"/>
              </w:rPr>
            </w:pPr>
            <w:r>
              <w:rPr>
                <w:sz w:val="21"/>
              </w:rPr>
              <w:t>防护区容积 2(m</w:t>
            </w:r>
            <w:r>
              <w:rPr>
                <w:position w:val="11"/>
                <w:sz w:val="11"/>
              </w:rPr>
              <w:t>3</w:t>
            </w:r>
            <w:r>
              <w:rPr>
                <w:sz w:val="21"/>
              </w:rPr>
              <w:t>)</w:t>
            </w:r>
          </w:p>
        </w:tc>
        <w:tc>
          <w:tcPr>
            <w:tcW w:w="2211" w:type="dxa"/>
            <w:tcBorders>
              <w:bottom w:val="single" w:sz="6" w:space="0" w:color="000000"/>
            </w:tcBorders>
          </w:tcPr>
          <w:p>
            <w:pPr>
              <w:pStyle w:val="TableParagraph"/>
              <w:rPr>
                <w:rFonts w:ascii="Times New Roman"/>
                <w:sz w:val="20"/>
              </w:rPr>
            </w:pPr>
          </w:p>
        </w:tc>
      </w:tr>
    </w:tbl>
    <w:p>
      <w:pPr>
        <w:spacing w:after="0"/>
        <w:rPr>
          <w:rFonts w:ascii="Times New Roman"/>
          <w:sz w:val="20"/>
        </w:rPr>
        <w:sectPr>
          <w:pgSz w:w="11910" w:h="8400" w:orient="landscape"/>
          <w:pgMar w:header="0" w:footer="877" w:top="740" w:bottom="106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火灾自动报警系统</w:t>
      </w: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1431"/>
        <w:gridCol w:w="1553"/>
        <w:gridCol w:w="410"/>
        <w:gridCol w:w="912"/>
        <w:gridCol w:w="631"/>
        <w:gridCol w:w="432"/>
        <w:gridCol w:w="1568"/>
      </w:tblGrid>
      <w:tr>
        <w:trPr>
          <w:trHeight w:val="498" w:hRule="atLeast"/>
        </w:trPr>
        <w:tc>
          <w:tcPr>
            <w:tcW w:w="2693" w:type="dxa"/>
          </w:tcPr>
          <w:p>
            <w:pPr>
              <w:pStyle w:val="TableParagraph"/>
              <w:spacing w:before="11"/>
              <w:rPr>
                <w:rFonts w:ascii="黑体"/>
                <w:sz w:val="14"/>
              </w:rPr>
            </w:pPr>
          </w:p>
          <w:p>
            <w:pPr>
              <w:pStyle w:val="TableParagraph"/>
              <w:ind w:left="107"/>
              <w:rPr>
                <w:sz w:val="21"/>
              </w:rPr>
            </w:pPr>
            <w:r>
              <w:rPr>
                <w:sz w:val="21"/>
              </w:rPr>
              <w:t>设置部位</w:t>
            </w:r>
          </w:p>
        </w:tc>
        <w:tc>
          <w:tcPr>
            <w:tcW w:w="6937" w:type="dxa"/>
            <w:gridSpan w:val="7"/>
          </w:tcPr>
          <w:p>
            <w:pPr>
              <w:pStyle w:val="TableParagraph"/>
              <w:rPr>
                <w:rFonts w:ascii="Times New Roman"/>
                <w:sz w:val="20"/>
              </w:rPr>
            </w:pPr>
          </w:p>
        </w:tc>
      </w:tr>
      <w:tr>
        <w:trPr>
          <w:trHeight w:val="501" w:hRule="atLeast"/>
        </w:trPr>
        <w:tc>
          <w:tcPr>
            <w:tcW w:w="2693" w:type="dxa"/>
          </w:tcPr>
          <w:p>
            <w:pPr>
              <w:pStyle w:val="TableParagraph"/>
              <w:spacing w:before="11"/>
              <w:rPr>
                <w:rFonts w:ascii="黑体"/>
                <w:sz w:val="14"/>
              </w:rPr>
            </w:pPr>
          </w:p>
          <w:p>
            <w:pPr>
              <w:pStyle w:val="TableParagraph"/>
              <w:spacing w:before="1"/>
              <w:ind w:left="107"/>
              <w:rPr>
                <w:sz w:val="21"/>
              </w:rPr>
            </w:pPr>
            <w:r>
              <w:rPr>
                <w:sz w:val="21"/>
              </w:rPr>
              <w:t>消防控制室设置位置</w:t>
            </w:r>
          </w:p>
        </w:tc>
        <w:tc>
          <w:tcPr>
            <w:tcW w:w="2984" w:type="dxa"/>
            <w:gridSpan w:val="2"/>
          </w:tcPr>
          <w:p>
            <w:pPr>
              <w:pStyle w:val="TableParagraph"/>
              <w:rPr>
                <w:rFonts w:ascii="Times New Roman"/>
                <w:sz w:val="20"/>
              </w:rPr>
            </w:pPr>
          </w:p>
        </w:tc>
        <w:tc>
          <w:tcPr>
            <w:tcW w:w="1322" w:type="dxa"/>
            <w:gridSpan w:val="2"/>
          </w:tcPr>
          <w:p>
            <w:pPr>
              <w:pStyle w:val="TableParagraph"/>
              <w:spacing w:before="11"/>
              <w:rPr>
                <w:rFonts w:ascii="黑体"/>
                <w:sz w:val="14"/>
              </w:rPr>
            </w:pPr>
          </w:p>
          <w:p>
            <w:pPr>
              <w:pStyle w:val="TableParagraph"/>
              <w:spacing w:before="1"/>
              <w:ind w:left="110"/>
              <w:rPr>
                <w:sz w:val="21"/>
              </w:rPr>
            </w:pPr>
            <w:r>
              <w:rPr>
                <w:sz w:val="21"/>
              </w:rPr>
              <w:t>系统形式</w:t>
            </w:r>
          </w:p>
        </w:tc>
        <w:tc>
          <w:tcPr>
            <w:tcW w:w="2631" w:type="dxa"/>
            <w:gridSpan w:val="3"/>
          </w:tcPr>
          <w:p>
            <w:pPr>
              <w:pStyle w:val="TableParagraph"/>
              <w:rPr>
                <w:rFonts w:ascii="Times New Roman"/>
                <w:sz w:val="20"/>
              </w:rPr>
            </w:pPr>
          </w:p>
        </w:tc>
      </w:tr>
      <w:tr>
        <w:trPr>
          <w:trHeight w:val="498" w:hRule="atLeast"/>
        </w:trPr>
        <w:tc>
          <w:tcPr>
            <w:tcW w:w="2693" w:type="dxa"/>
          </w:tcPr>
          <w:p>
            <w:pPr>
              <w:pStyle w:val="TableParagraph"/>
              <w:spacing w:before="11"/>
              <w:rPr>
                <w:rFonts w:ascii="黑体"/>
                <w:sz w:val="14"/>
              </w:rPr>
            </w:pPr>
          </w:p>
          <w:p>
            <w:pPr>
              <w:pStyle w:val="TableParagraph"/>
              <w:ind w:left="107"/>
              <w:rPr>
                <w:sz w:val="21"/>
              </w:rPr>
            </w:pPr>
            <w:r>
              <w:rPr>
                <w:sz w:val="21"/>
              </w:rPr>
              <w:t>报警控制器型号</w:t>
            </w:r>
          </w:p>
        </w:tc>
        <w:tc>
          <w:tcPr>
            <w:tcW w:w="1431" w:type="dxa"/>
          </w:tcPr>
          <w:p>
            <w:pPr>
              <w:pStyle w:val="TableParagraph"/>
              <w:rPr>
                <w:rFonts w:ascii="Times New Roman"/>
                <w:sz w:val="20"/>
              </w:rPr>
            </w:pPr>
          </w:p>
        </w:tc>
        <w:tc>
          <w:tcPr>
            <w:tcW w:w="1553" w:type="dxa"/>
          </w:tcPr>
          <w:p>
            <w:pPr>
              <w:pStyle w:val="TableParagraph"/>
              <w:spacing w:before="11"/>
              <w:rPr>
                <w:rFonts w:ascii="黑体"/>
                <w:sz w:val="14"/>
              </w:rPr>
            </w:pPr>
          </w:p>
          <w:p>
            <w:pPr>
              <w:pStyle w:val="TableParagraph"/>
              <w:ind w:left="107"/>
              <w:rPr>
                <w:sz w:val="21"/>
              </w:rPr>
            </w:pPr>
            <w:r>
              <w:rPr>
                <w:sz w:val="21"/>
              </w:rPr>
              <w:t>数量(台)</w:t>
            </w:r>
          </w:p>
        </w:tc>
        <w:tc>
          <w:tcPr>
            <w:tcW w:w="1322" w:type="dxa"/>
            <w:gridSpan w:val="2"/>
          </w:tcPr>
          <w:p>
            <w:pPr>
              <w:pStyle w:val="TableParagraph"/>
              <w:rPr>
                <w:rFonts w:ascii="Times New Roman"/>
                <w:sz w:val="20"/>
              </w:rPr>
            </w:pPr>
          </w:p>
        </w:tc>
        <w:tc>
          <w:tcPr>
            <w:tcW w:w="1063" w:type="dxa"/>
            <w:gridSpan w:val="2"/>
          </w:tcPr>
          <w:p>
            <w:pPr>
              <w:pStyle w:val="TableParagraph"/>
              <w:spacing w:before="11"/>
              <w:rPr>
                <w:rFonts w:ascii="黑体"/>
                <w:sz w:val="14"/>
              </w:rPr>
            </w:pPr>
          </w:p>
          <w:p>
            <w:pPr>
              <w:pStyle w:val="TableParagraph"/>
              <w:ind w:left="110"/>
              <w:rPr>
                <w:sz w:val="21"/>
              </w:rPr>
            </w:pPr>
            <w:r>
              <w:rPr>
                <w:sz w:val="21"/>
              </w:rPr>
              <w:t>生产厂</w:t>
            </w:r>
          </w:p>
        </w:tc>
        <w:tc>
          <w:tcPr>
            <w:tcW w:w="1568" w:type="dxa"/>
          </w:tcPr>
          <w:p>
            <w:pPr>
              <w:pStyle w:val="TableParagraph"/>
              <w:rPr>
                <w:rFonts w:ascii="Times New Roman"/>
                <w:sz w:val="20"/>
              </w:rPr>
            </w:pPr>
          </w:p>
        </w:tc>
      </w:tr>
      <w:tr>
        <w:trPr>
          <w:trHeight w:val="501" w:hRule="atLeast"/>
        </w:trPr>
        <w:tc>
          <w:tcPr>
            <w:tcW w:w="2693" w:type="dxa"/>
          </w:tcPr>
          <w:p>
            <w:pPr>
              <w:pStyle w:val="TableParagraph"/>
              <w:spacing w:before="11"/>
              <w:rPr>
                <w:rFonts w:ascii="黑体"/>
                <w:sz w:val="14"/>
              </w:rPr>
            </w:pPr>
          </w:p>
          <w:p>
            <w:pPr>
              <w:pStyle w:val="TableParagraph"/>
              <w:ind w:left="107"/>
              <w:rPr>
                <w:sz w:val="21"/>
              </w:rPr>
            </w:pPr>
            <w:r>
              <w:rPr>
                <w:sz w:val="21"/>
              </w:rPr>
              <w:t>联动控制器型号</w:t>
            </w:r>
          </w:p>
        </w:tc>
        <w:tc>
          <w:tcPr>
            <w:tcW w:w="1431" w:type="dxa"/>
          </w:tcPr>
          <w:p>
            <w:pPr>
              <w:pStyle w:val="TableParagraph"/>
              <w:rPr>
                <w:rFonts w:ascii="Times New Roman"/>
                <w:sz w:val="20"/>
              </w:rPr>
            </w:pPr>
          </w:p>
        </w:tc>
        <w:tc>
          <w:tcPr>
            <w:tcW w:w="1553" w:type="dxa"/>
          </w:tcPr>
          <w:p>
            <w:pPr>
              <w:pStyle w:val="TableParagraph"/>
              <w:spacing w:before="11"/>
              <w:rPr>
                <w:rFonts w:ascii="黑体"/>
                <w:sz w:val="14"/>
              </w:rPr>
            </w:pPr>
          </w:p>
          <w:p>
            <w:pPr>
              <w:pStyle w:val="TableParagraph"/>
              <w:ind w:left="107"/>
              <w:rPr>
                <w:sz w:val="21"/>
              </w:rPr>
            </w:pPr>
            <w:r>
              <w:rPr>
                <w:sz w:val="21"/>
              </w:rPr>
              <w:t>数量(台)</w:t>
            </w:r>
          </w:p>
        </w:tc>
        <w:tc>
          <w:tcPr>
            <w:tcW w:w="1322" w:type="dxa"/>
            <w:gridSpan w:val="2"/>
          </w:tcPr>
          <w:p>
            <w:pPr>
              <w:pStyle w:val="TableParagraph"/>
              <w:rPr>
                <w:rFonts w:ascii="Times New Roman"/>
                <w:sz w:val="20"/>
              </w:rPr>
            </w:pPr>
          </w:p>
        </w:tc>
        <w:tc>
          <w:tcPr>
            <w:tcW w:w="1063" w:type="dxa"/>
            <w:gridSpan w:val="2"/>
          </w:tcPr>
          <w:p>
            <w:pPr>
              <w:pStyle w:val="TableParagraph"/>
              <w:spacing w:before="11"/>
              <w:rPr>
                <w:rFonts w:ascii="黑体"/>
                <w:sz w:val="14"/>
              </w:rPr>
            </w:pPr>
          </w:p>
          <w:p>
            <w:pPr>
              <w:pStyle w:val="TableParagraph"/>
              <w:ind w:left="110"/>
              <w:rPr>
                <w:sz w:val="21"/>
              </w:rPr>
            </w:pPr>
            <w:r>
              <w:rPr>
                <w:sz w:val="21"/>
              </w:rPr>
              <w:t>生产厂</w:t>
            </w:r>
          </w:p>
        </w:tc>
        <w:tc>
          <w:tcPr>
            <w:tcW w:w="1568" w:type="dxa"/>
          </w:tcPr>
          <w:p>
            <w:pPr>
              <w:pStyle w:val="TableParagraph"/>
              <w:rPr>
                <w:rFonts w:ascii="Times New Roman"/>
                <w:sz w:val="20"/>
              </w:rPr>
            </w:pPr>
          </w:p>
        </w:tc>
      </w:tr>
      <w:tr>
        <w:trPr>
          <w:trHeight w:val="499" w:hRule="atLeast"/>
        </w:trPr>
        <w:tc>
          <w:tcPr>
            <w:tcW w:w="2693" w:type="dxa"/>
          </w:tcPr>
          <w:p>
            <w:pPr>
              <w:pStyle w:val="TableParagraph"/>
              <w:spacing w:before="11"/>
              <w:rPr>
                <w:rFonts w:ascii="黑体"/>
                <w:sz w:val="14"/>
              </w:rPr>
            </w:pPr>
          </w:p>
          <w:p>
            <w:pPr>
              <w:pStyle w:val="TableParagraph"/>
              <w:ind w:left="107"/>
              <w:rPr>
                <w:sz w:val="21"/>
              </w:rPr>
            </w:pPr>
            <w:r>
              <w:rPr>
                <w:sz w:val="21"/>
              </w:rPr>
              <w:t>手动报警型号</w:t>
            </w:r>
          </w:p>
        </w:tc>
        <w:tc>
          <w:tcPr>
            <w:tcW w:w="1431" w:type="dxa"/>
          </w:tcPr>
          <w:p>
            <w:pPr>
              <w:pStyle w:val="TableParagraph"/>
              <w:rPr>
                <w:rFonts w:ascii="Times New Roman"/>
                <w:sz w:val="20"/>
              </w:rPr>
            </w:pPr>
          </w:p>
        </w:tc>
        <w:tc>
          <w:tcPr>
            <w:tcW w:w="1553" w:type="dxa"/>
          </w:tcPr>
          <w:p>
            <w:pPr>
              <w:pStyle w:val="TableParagraph"/>
              <w:spacing w:before="11"/>
              <w:rPr>
                <w:rFonts w:ascii="黑体"/>
                <w:sz w:val="14"/>
              </w:rPr>
            </w:pPr>
          </w:p>
          <w:p>
            <w:pPr>
              <w:pStyle w:val="TableParagraph"/>
              <w:ind w:left="107"/>
              <w:rPr>
                <w:sz w:val="21"/>
              </w:rPr>
            </w:pPr>
            <w:r>
              <w:rPr>
                <w:sz w:val="21"/>
              </w:rPr>
              <w:t>数量(台)</w:t>
            </w:r>
          </w:p>
        </w:tc>
        <w:tc>
          <w:tcPr>
            <w:tcW w:w="1322" w:type="dxa"/>
            <w:gridSpan w:val="2"/>
          </w:tcPr>
          <w:p>
            <w:pPr>
              <w:pStyle w:val="TableParagraph"/>
              <w:rPr>
                <w:rFonts w:ascii="Times New Roman"/>
                <w:sz w:val="20"/>
              </w:rPr>
            </w:pPr>
          </w:p>
        </w:tc>
        <w:tc>
          <w:tcPr>
            <w:tcW w:w="1063" w:type="dxa"/>
            <w:gridSpan w:val="2"/>
          </w:tcPr>
          <w:p>
            <w:pPr>
              <w:pStyle w:val="TableParagraph"/>
              <w:spacing w:before="11"/>
              <w:rPr>
                <w:rFonts w:ascii="黑体"/>
                <w:sz w:val="14"/>
              </w:rPr>
            </w:pPr>
          </w:p>
          <w:p>
            <w:pPr>
              <w:pStyle w:val="TableParagraph"/>
              <w:ind w:left="110"/>
              <w:rPr>
                <w:sz w:val="21"/>
              </w:rPr>
            </w:pPr>
            <w:r>
              <w:rPr>
                <w:sz w:val="21"/>
              </w:rPr>
              <w:t>生产厂</w:t>
            </w:r>
          </w:p>
        </w:tc>
        <w:tc>
          <w:tcPr>
            <w:tcW w:w="1568" w:type="dxa"/>
          </w:tcPr>
          <w:p>
            <w:pPr>
              <w:pStyle w:val="TableParagraph"/>
              <w:rPr>
                <w:rFonts w:ascii="Times New Roman"/>
                <w:sz w:val="20"/>
              </w:rPr>
            </w:pPr>
          </w:p>
        </w:tc>
      </w:tr>
      <w:tr>
        <w:trPr>
          <w:trHeight w:val="501" w:hRule="atLeast"/>
        </w:trPr>
        <w:tc>
          <w:tcPr>
            <w:tcW w:w="2693" w:type="dxa"/>
          </w:tcPr>
          <w:p>
            <w:pPr>
              <w:pStyle w:val="TableParagraph"/>
              <w:spacing w:before="11"/>
              <w:rPr>
                <w:rFonts w:ascii="黑体"/>
                <w:sz w:val="14"/>
              </w:rPr>
            </w:pPr>
          </w:p>
          <w:p>
            <w:pPr>
              <w:pStyle w:val="TableParagraph"/>
              <w:ind w:left="107"/>
              <w:rPr>
                <w:sz w:val="21"/>
              </w:rPr>
            </w:pPr>
            <w:r>
              <w:rPr>
                <w:sz w:val="21"/>
              </w:rPr>
              <w:t>探测器类型</w:t>
            </w:r>
          </w:p>
        </w:tc>
        <w:tc>
          <w:tcPr>
            <w:tcW w:w="1431" w:type="dxa"/>
          </w:tcPr>
          <w:p>
            <w:pPr>
              <w:pStyle w:val="TableParagraph"/>
              <w:rPr>
                <w:rFonts w:ascii="Times New Roman"/>
                <w:sz w:val="20"/>
              </w:rPr>
            </w:pPr>
          </w:p>
        </w:tc>
        <w:tc>
          <w:tcPr>
            <w:tcW w:w="1553" w:type="dxa"/>
          </w:tcPr>
          <w:p>
            <w:pPr>
              <w:pStyle w:val="TableParagraph"/>
              <w:spacing w:before="11"/>
              <w:rPr>
                <w:rFonts w:ascii="黑体"/>
                <w:sz w:val="14"/>
              </w:rPr>
            </w:pPr>
          </w:p>
          <w:p>
            <w:pPr>
              <w:pStyle w:val="TableParagraph"/>
              <w:ind w:left="107"/>
              <w:rPr>
                <w:sz w:val="21"/>
              </w:rPr>
            </w:pPr>
            <w:r>
              <w:rPr>
                <w:sz w:val="21"/>
              </w:rPr>
              <w:t>数量(台)</w:t>
            </w:r>
          </w:p>
        </w:tc>
        <w:tc>
          <w:tcPr>
            <w:tcW w:w="3953" w:type="dxa"/>
            <w:gridSpan w:val="5"/>
          </w:tcPr>
          <w:p>
            <w:pPr>
              <w:pStyle w:val="TableParagraph"/>
              <w:rPr>
                <w:rFonts w:ascii="Times New Roman"/>
                <w:sz w:val="20"/>
              </w:rPr>
            </w:pPr>
          </w:p>
        </w:tc>
      </w:tr>
      <w:tr>
        <w:trPr>
          <w:trHeight w:val="498" w:hRule="atLeast"/>
        </w:trPr>
        <w:tc>
          <w:tcPr>
            <w:tcW w:w="2693" w:type="dxa"/>
          </w:tcPr>
          <w:p>
            <w:pPr>
              <w:pStyle w:val="TableParagraph"/>
              <w:spacing w:before="11"/>
              <w:rPr>
                <w:rFonts w:ascii="黑体"/>
                <w:sz w:val="14"/>
              </w:rPr>
            </w:pPr>
          </w:p>
          <w:p>
            <w:pPr>
              <w:pStyle w:val="TableParagraph"/>
              <w:ind w:left="107"/>
              <w:rPr>
                <w:sz w:val="21"/>
              </w:rPr>
            </w:pPr>
            <w:r>
              <w:rPr>
                <w:sz w:val="21"/>
              </w:rPr>
              <w:t>系统状态(单选)</w:t>
            </w:r>
          </w:p>
        </w:tc>
        <w:tc>
          <w:tcPr>
            <w:tcW w:w="6937" w:type="dxa"/>
            <w:gridSpan w:val="7"/>
          </w:tcPr>
          <w:p>
            <w:pPr>
              <w:pStyle w:val="TableParagraph"/>
              <w:spacing w:before="11"/>
              <w:rPr>
                <w:rFonts w:ascii="黑体"/>
                <w:sz w:val="14"/>
              </w:rPr>
            </w:pPr>
          </w:p>
          <w:p>
            <w:pPr>
              <w:pStyle w:val="TableParagraph"/>
              <w:ind w:left="107"/>
              <w:rPr>
                <w:sz w:val="21"/>
              </w:rPr>
            </w:pPr>
            <w:r>
              <w:rPr>
                <w:sz w:val="21"/>
              </w:rPr>
              <w:t>(正常) (不正常) (不能使用)</w:t>
            </w:r>
          </w:p>
        </w:tc>
      </w:tr>
      <w:tr>
        <w:trPr>
          <w:trHeight w:val="578" w:hRule="atLeast"/>
        </w:trPr>
        <w:tc>
          <w:tcPr>
            <w:tcW w:w="2693" w:type="dxa"/>
          </w:tcPr>
          <w:p>
            <w:pPr>
              <w:pStyle w:val="TableParagraph"/>
              <w:spacing w:before="11"/>
              <w:rPr>
                <w:rFonts w:ascii="黑体"/>
                <w:sz w:val="14"/>
              </w:rPr>
            </w:pPr>
          </w:p>
          <w:p>
            <w:pPr>
              <w:pStyle w:val="TableParagraph"/>
              <w:spacing w:before="1"/>
              <w:ind w:left="107"/>
              <w:rPr>
                <w:sz w:val="21"/>
              </w:rPr>
            </w:pPr>
            <w:r>
              <w:rPr>
                <w:sz w:val="21"/>
              </w:rPr>
              <w:t>责任部门</w:t>
            </w:r>
          </w:p>
        </w:tc>
        <w:tc>
          <w:tcPr>
            <w:tcW w:w="3394" w:type="dxa"/>
            <w:gridSpan w:val="3"/>
          </w:tcPr>
          <w:p>
            <w:pPr>
              <w:pStyle w:val="TableParagraph"/>
              <w:rPr>
                <w:rFonts w:ascii="Times New Roman"/>
                <w:sz w:val="20"/>
              </w:rPr>
            </w:pPr>
          </w:p>
        </w:tc>
        <w:tc>
          <w:tcPr>
            <w:tcW w:w="1543" w:type="dxa"/>
            <w:gridSpan w:val="2"/>
          </w:tcPr>
          <w:p>
            <w:pPr>
              <w:pStyle w:val="TableParagraph"/>
              <w:spacing w:before="11"/>
              <w:rPr>
                <w:rFonts w:ascii="黑体"/>
                <w:sz w:val="14"/>
              </w:rPr>
            </w:pPr>
          </w:p>
          <w:p>
            <w:pPr>
              <w:pStyle w:val="TableParagraph"/>
              <w:spacing w:before="1"/>
              <w:ind w:left="108"/>
              <w:rPr>
                <w:sz w:val="21"/>
              </w:rPr>
            </w:pPr>
            <w:r>
              <w:rPr>
                <w:sz w:val="21"/>
              </w:rPr>
              <w:t>责任人</w:t>
            </w:r>
          </w:p>
        </w:tc>
        <w:tc>
          <w:tcPr>
            <w:tcW w:w="2000" w:type="dxa"/>
            <w:gridSpan w:val="2"/>
          </w:tcPr>
          <w:p>
            <w:pPr>
              <w:pStyle w:val="TableParagraph"/>
              <w:rPr>
                <w:rFonts w:ascii="Times New Roman"/>
                <w:sz w:val="20"/>
              </w:rPr>
            </w:pPr>
          </w:p>
        </w:tc>
      </w:tr>
      <w:tr>
        <w:trPr>
          <w:trHeight w:val="621" w:hRule="atLeast"/>
        </w:trPr>
        <w:tc>
          <w:tcPr>
            <w:tcW w:w="2693" w:type="dxa"/>
          </w:tcPr>
          <w:p>
            <w:pPr>
              <w:pStyle w:val="TableParagraph"/>
              <w:spacing w:before="11"/>
              <w:rPr>
                <w:rFonts w:ascii="黑体"/>
                <w:sz w:val="14"/>
              </w:rPr>
            </w:pPr>
          </w:p>
          <w:p>
            <w:pPr>
              <w:pStyle w:val="TableParagraph"/>
              <w:ind w:left="107"/>
              <w:rPr>
                <w:sz w:val="21"/>
              </w:rPr>
            </w:pPr>
            <w:r>
              <w:rPr>
                <w:sz w:val="21"/>
              </w:rPr>
              <w:t>维修保养单位</w:t>
            </w:r>
          </w:p>
        </w:tc>
        <w:tc>
          <w:tcPr>
            <w:tcW w:w="6937" w:type="dxa"/>
            <w:gridSpan w:val="7"/>
          </w:tcPr>
          <w:p>
            <w:pPr>
              <w:pStyle w:val="TableParagraph"/>
              <w:rPr>
                <w:rFonts w:ascii="Times New Roman"/>
                <w:sz w:val="20"/>
              </w:rPr>
            </w:pPr>
          </w:p>
        </w:tc>
      </w:tr>
      <w:tr>
        <w:trPr>
          <w:trHeight w:val="1000" w:hRule="atLeast"/>
        </w:trPr>
        <w:tc>
          <w:tcPr>
            <w:tcW w:w="2693" w:type="dxa"/>
          </w:tcPr>
          <w:p>
            <w:pPr>
              <w:pStyle w:val="TableParagraph"/>
              <w:rPr>
                <w:rFonts w:ascii="黑体"/>
                <w:sz w:val="20"/>
              </w:rPr>
            </w:pPr>
          </w:p>
          <w:p>
            <w:pPr>
              <w:pStyle w:val="TableParagraph"/>
              <w:spacing w:before="4"/>
              <w:rPr>
                <w:rFonts w:ascii="黑体"/>
                <w:sz w:val="14"/>
              </w:rPr>
            </w:pPr>
          </w:p>
          <w:p>
            <w:pPr>
              <w:pStyle w:val="TableParagraph"/>
              <w:spacing w:before="1"/>
              <w:ind w:left="401"/>
              <w:rPr>
                <w:sz w:val="21"/>
              </w:rPr>
            </w:pPr>
            <w:r>
              <w:rPr>
                <w:sz w:val="21"/>
              </w:rPr>
              <w:t>其他需要说明的情况</w:t>
            </w:r>
          </w:p>
        </w:tc>
        <w:tc>
          <w:tcPr>
            <w:tcW w:w="6937" w:type="dxa"/>
            <w:gridSpan w:val="7"/>
          </w:tcPr>
          <w:p>
            <w:pPr>
              <w:pStyle w:val="TableParagraph"/>
              <w:rPr>
                <w:rFonts w:ascii="Times New Roman"/>
                <w:sz w:val="20"/>
              </w:rPr>
            </w:pPr>
          </w:p>
        </w:tc>
      </w:tr>
    </w:tbl>
    <w:p>
      <w:pPr>
        <w:spacing w:after="0"/>
        <w:rPr>
          <w:rFonts w:ascii="Times New Roman"/>
          <w:sz w:val="20"/>
        </w:rPr>
        <w:sectPr>
          <w:pgSz w:w="11910" w:h="8400" w:orient="landscape"/>
          <w:pgMar w:header="0" w:footer="836" w:top="740" w:bottom="102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排烟系统</w:t>
      </w: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5"/>
        <w:gridCol w:w="1777"/>
        <w:gridCol w:w="1357"/>
        <w:gridCol w:w="1186"/>
        <w:gridCol w:w="2617"/>
      </w:tblGrid>
      <w:tr>
        <w:trPr>
          <w:trHeight w:val="686" w:hRule="atLeast"/>
        </w:trPr>
        <w:tc>
          <w:tcPr>
            <w:tcW w:w="2775" w:type="dxa"/>
          </w:tcPr>
          <w:p>
            <w:pPr>
              <w:pStyle w:val="TableParagraph"/>
              <w:spacing w:before="11"/>
              <w:rPr>
                <w:rFonts w:ascii="黑体"/>
                <w:sz w:val="17"/>
              </w:rPr>
            </w:pPr>
          </w:p>
          <w:p>
            <w:pPr>
              <w:pStyle w:val="TableParagraph"/>
              <w:ind w:left="528" w:right="516"/>
              <w:jc w:val="center"/>
              <w:rPr>
                <w:sz w:val="21"/>
              </w:rPr>
            </w:pPr>
            <w:r>
              <w:rPr>
                <w:sz w:val="21"/>
              </w:rPr>
              <w:t>设置部位</w:t>
            </w:r>
          </w:p>
        </w:tc>
        <w:tc>
          <w:tcPr>
            <w:tcW w:w="6937" w:type="dxa"/>
            <w:gridSpan w:val="4"/>
          </w:tcPr>
          <w:p>
            <w:pPr>
              <w:pStyle w:val="TableParagraph"/>
              <w:rPr>
                <w:rFonts w:ascii="Times New Roman"/>
                <w:sz w:val="20"/>
              </w:rPr>
            </w:pPr>
          </w:p>
        </w:tc>
      </w:tr>
      <w:tr>
        <w:trPr>
          <w:trHeight w:val="686" w:hRule="atLeast"/>
        </w:trPr>
        <w:tc>
          <w:tcPr>
            <w:tcW w:w="2775" w:type="dxa"/>
          </w:tcPr>
          <w:p>
            <w:pPr>
              <w:pStyle w:val="TableParagraph"/>
              <w:spacing w:before="11"/>
              <w:rPr>
                <w:rFonts w:ascii="黑体"/>
                <w:sz w:val="17"/>
              </w:rPr>
            </w:pPr>
          </w:p>
          <w:p>
            <w:pPr>
              <w:pStyle w:val="TableParagraph"/>
              <w:ind w:left="528" w:right="516"/>
              <w:jc w:val="center"/>
              <w:rPr>
                <w:sz w:val="21"/>
              </w:rPr>
            </w:pPr>
            <w:r>
              <w:rPr>
                <w:sz w:val="21"/>
              </w:rPr>
              <w:t>排烟风机数量(只)</w:t>
            </w:r>
          </w:p>
        </w:tc>
        <w:tc>
          <w:tcPr>
            <w:tcW w:w="1777" w:type="dxa"/>
          </w:tcPr>
          <w:p>
            <w:pPr>
              <w:pStyle w:val="TableParagraph"/>
              <w:rPr>
                <w:rFonts w:ascii="Times New Roman"/>
                <w:sz w:val="20"/>
              </w:rPr>
            </w:pPr>
          </w:p>
        </w:tc>
        <w:tc>
          <w:tcPr>
            <w:tcW w:w="2543" w:type="dxa"/>
            <w:gridSpan w:val="2"/>
          </w:tcPr>
          <w:p>
            <w:pPr>
              <w:pStyle w:val="TableParagraph"/>
              <w:spacing w:before="11"/>
              <w:rPr>
                <w:rFonts w:ascii="黑体"/>
                <w:sz w:val="17"/>
              </w:rPr>
            </w:pPr>
          </w:p>
          <w:p>
            <w:pPr>
              <w:pStyle w:val="TableParagraph"/>
              <w:ind w:left="640"/>
              <w:rPr>
                <w:sz w:val="21"/>
              </w:rPr>
            </w:pPr>
            <w:r>
              <w:rPr>
                <w:sz w:val="21"/>
              </w:rPr>
              <w:t>风机安装位置</w:t>
            </w:r>
          </w:p>
        </w:tc>
        <w:tc>
          <w:tcPr>
            <w:tcW w:w="2617" w:type="dxa"/>
          </w:tcPr>
          <w:p>
            <w:pPr>
              <w:pStyle w:val="TableParagraph"/>
              <w:rPr>
                <w:rFonts w:ascii="Times New Roman"/>
                <w:sz w:val="20"/>
              </w:rPr>
            </w:pPr>
          </w:p>
        </w:tc>
      </w:tr>
      <w:tr>
        <w:trPr>
          <w:trHeight w:val="686" w:hRule="atLeast"/>
        </w:trPr>
        <w:tc>
          <w:tcPr>
            <w:tcW w:w="2775" w:type="dxa"/>
          </w:tcPr>
          <w:p>
            <w:pPr>
              <w:pStyle w:val="TableParagraph"/>
              <w:spacing w:before="11"/>
              <w:rPr>
                <w:rFonts w:ascii="黑体"/>
                <w:sz w:val="17"/>
              </w:rPr>
            </w:pPr>
          </w:p>
          <w:p>
            <w:pPr>
              <w:pStyle w:val="TableParagraph"/>
              <w:ind w:left="528" w:right="516"/>
              <w:jc w:val="center"/>
              <w:rPr>
                <w:sz w:val="21"/>
              </w:rPr>
            </w:pPr>
            <w:r>
              <w:rPr>
                <w:sz w:val="21"/>
              </w:rPr>
              <w:t>风机类型</w:t>
            </w:r>
          </w:p>
        </w:tc>
        <w:tc>
          <w:tcPr>
            <w:tcW w:w="1777" w:type="dxa"/>
          </w:tcPr>
          <w:p>
            <w:pPr>
              <w:pStyle w:val="TableParagraph"/>
              <w:rPr>
                <w:rFonts w:ascii="Times New Roman"/>
                <w:sz w:val="20"/>
              </w:rPr>
            </w:pPr>
          </w:p>
        </w:tc>
        <w:tc>
          <w:tcPr>
            <w:tcW w:w="2543" w:type="dxa"/>
            <w:gridSpan w:val="2"/>
          </w:tcPr>
          <w:p>
            <w:pPr>
              <w:pStyle w:val="TableParagraph"/>
              <w:spacing w:before="11"/>
              <w:rPr>
                <w:rFonts w:ascii="黑体"/>
                <w:sz w:val="17"/>
              </w:rPr>
            </w:pPr>
          </w:p>
          <w:p>
            <w:pPr>
              <w:pStyle w:val="TableParagraph"/>
              <w:ind w:left="640"/>
              <w:rPr>
                <w:sz w:val="21"/>
              </w:rPr>
            </w:pPr>
            <w:r>
              <w:rPr>
                <w:sz w:val="21"/>
              </w:rPr>
              <w:t>风口设置部位</w:t>
            </w:r>
          </w:p>
        </w:tc>
        <w:tc>
          <w:tcPr>
            <w:tcW w:w="2617" w:type="dxa"/>
          </w:tcPr>
          <w:p>
            <w:pPr>
              <w:pStyle w:val="TableParagraph"/>
              <w:rPr>
                <w:rFonts w:ascii="Times New Roman"/>
                <w:sz w:val="20"/>
              </w:rPr>
            </w:pPr>
          </w:p>
        </w:tc>
      </w:tr>
      <w:tr>
        <w:trPr>
          <w:trHeight w:val="686" w:hRule="atLeast"/>
        </w:trPr>
        <w:tc>
          <w:tcPr>
            <w:tcW w:w="2775" w:type="dxa"/>
          </w:tcPr>
          <w:p>
            <w:pPr>
              <w:pStyle w:val="TableParagraph"/>
              <w:spacing w:before="1"/>
              <w:rPr>
                <w:rFonts w:ascii="黑体"/>
                <w:sz w:val="17"/>
              </w:rPr>
            </w:pPr>
          </w:p>
          <w:p>
            <w:pPr>
              <w:pStyle w:val="TableParagraph"/>
              <w:ind w:left="528" w:right="516"/>
              <w:jc w:val="center"/>
              <w:rPr>
                <w:sz w:val="21"/>
              </w:rPr>
            </w:pPr>
            <w:r>
              <w:rPr>
                <w:sz w:val="21"/>
              </w:rPr>
              <w:t>风机风量(m</w:t>
            </w:r>
            <w:r>
              <w:rPr>
                <w:position w:val="11"/>
                <w:sz w:val="11"/>
              </w:rPr>
              <w:t>3</w:t>
            </w:r>
            <w:r>
              <w:rPr>
                <w:sz w:val="21"/>
              </w:rPr>
              <w:t>/h)</w:t>
            </w:r>
          </w:p>
        </w:tc>
        <w:tc>
          <w:tcPr>
            <w:tcW w:w="1777" w:type="dxa"/>
          </w:tcPr>
          <w:p>
            <w:pPr>
              <w:pStyle w:val="TableParagraph"/>
              <w:rPr>
                <w:rFonts w:ascii="Times New Roman"/>
                <w:sz w:val="20"/>
              </w:rPr>
            </w:pPr>
          </w:p>
        </w:tc>
        <w:tc>
          <w:tcPr>
            <w:tcW w:w="1357" w:type="dxa"/>
          </w:tcPr>
          <w:p>
            <w:pPr>
              <w:pStyle w:val="TableParagraph"/>
              <w:spacing w:before="11"/>
              <w:rPr>
                <w:rFonts w:ascii="黑体"/>
                <w:sz w:val="17"/>
              </w:rPr>
            </w:pPr>
          </w:p>
          <w:p>
            <w:pPr>
              <w:pStyle w:val="TableParagraph"/>
              <w:ind w:left="258"/>
              <w:rPr>
                <w:sz w:val="21"/>
              </w:rPr>
            </w:pPr>
            <w:r>
              <w:rPr>
                <w:sz w:val="21"/>
              </w:rPr>
              <w:t>系统状态</w:t>
            </w:r>
          </w:p>
        </w:tc>
        <w:tc>
          <w:tcPr>
            <w:tcW w:w="3803" w:type="dxa"/>
            <w:gridSpan w:val="2"/>
          </w:tcPr>
          <w:p>
            <w:pPr>
              <w:pStyle w:val="TableParagraph"/>
              <w:spacing w:before="11"/>
              <w:rPr>
                <w:rFonts w:ascii="黑体"/>
                <w:sz w:val="17"/>
              </w:rPr>
            </w:pPr>
          </w:p>
          <w:p>
            <w:pPr>
              <w:pStyle w:val="TableParagraph"/>
              <w:ind w:left="536"/>
              <w:rPr>
                <w:sz w:val="21"/>
              </w:rPr>
            </w:pPr>
            <w:r>
              <w:rPr>
                <w:sz w:val="21"/>
              </w:rPr>
              <w:t>(正常) (不正常) (不能使用)</w:t>
            </w:r>
          </w:p>
        </w:tc>
      </w:tr>
      <w:tr>
        <w:trPr>
          <w:trHeight w:val="685" w:hRule="atLeast"/>
        </w:trPr>
        <w:tc>
          <w:tcPr>
            <w:tcW w:w="2775" w:type="dxa"/>
          </w:tcPr>
          <w:p>
            <w:pPr>
              <w:pStyle w:val="TableParagraph"/>
              <w:spacing w:before="11"/>
              <w:rPr>
                <w:rFonts w:ascii="黑体"/>
                <w:sz w:val="17"/>
              </w:rPr>
            </w:pPr>
          </w:p>
          <w:p>
            <w:pPr>
              <w:pStyle w:val="TableParagraph"/>
              <w:ind w:left="528" w:right="516"/>
              <w:jc w:val="center"/>
              <w:rPr>
                <w:sz w:val="21"/>
              </w:rPr>
            </w:pPr>
            <w:r>
              <w:rPr>
                <w:sz w:val="21"/>
              </w:rPr>
              <w:t>动作方式</w:t>
            </w:r>
          </w:p>
        </w:tc>
        <w:tc>
          <w:tcPr>
            <w:tcW w:w="6937" w:type="dxa"/>
            <w:gridSpan w:val="4"/>
          </w:tcPr>
          <w:p>
            <w:pPr>
              <w:pStyle w:val="TableParagraph"/>
              <w:spacing w:before="11"/>
              <w:rPr>
                <w:rFonts w:ascii="黑体"/>
                <w:sz w:val="17"/>
              </w:rPr>
            </w:pPr>
          </w:p>
          <w:p>
            <w:pPr>
              <w:pStyle w:val="TableParagraph"/>
              <w:ind w:left="1471"/>
              <w:rPr>
                <w:sz w:val="21"/>
              </w:rPr>
            </w:pPr>
            <w:r>
              <w:rPr>
                <w:sz w:val="21"/>
              </w:rPr>
              <w:t>(联动控制) (手动控制) (消防控制室控制)</w:t>
            </w:r>
          </w:p>
        </w:tc>
      </w:tr>
      <w:tr>
        <w:trPr>
          <w:trHeight w:val="686" w:hRule="atLeast"/>
        </w:trPr>
        <w:tc>
          <w:tcPr>
            <w:tcW w:w="2775" w:type="dxa"/>
          </w:tcPr>
          <w:p>
            <w:pPr>
              <w:pStyle w:val="TableParagraph"/>
              <w:spacing w:before="11"/>
              <w:rPr>
                <w:rFonts w:ascii="黑体"/>
                <w:sz w:val="17"/>
              </w:rPr>
            </w:pPr>
          </w:p>
          <w:p>
            <w:pPr>
              <w:pStyle w:val="TableParagraph"/>
              <w:ind w:left="528" w:right="516"/>
              <w:jc w:val="center"/>
              <w:rPr>
                <w:sz w:val="21"/>
              </w:rPr>
            </w:pPr>
            <w:r>
              <w:rPr>
                <w:sz w:val="21"/>
              </w:rPr>
              <w:t>责任部门及责任人</w:t>
            </w:r>
          </w:p>
        </w:tc>
        <w:tc>
          <w:tcPr>
            <w:tcW w:w="6937" w:type="dxa"/>
            <w:gridSpan w:val="4"/>
          </w:tcPr>
          <w:p>
            <w:pPr>
              <w:pStyle w:val="TableParagraph"/>
              <w:rPr>
                <w:rFonts w:ascii="Times New Roman"/>
                <w:sz w:val="20"/>
              </w:rPr>
            </w:pPr>
          </w:p>
        </w:tc>
      </w:tr>
      <w:tr>
        <w:trPr>
          <w:trHeight w:val="685" w:hRule="atLeast"/>
        </w:trPr>
        <w:tc>
          <w:tcPr>
            <w:tcW w:w="2775" w:type="dxa"/>
          </w:tcPr>
          <w:p>
            <w:pPr>
              <w:pStyle w:val="TableParagraph"/>
              <w:spacing w:before="11"/>
              <w:rPr>
                <w:rFonts w:ascii="黑体"/>
                <w:sz w:val="17"/>
              </w:rPr>
            </w:pPr>
          </w:p>
          <w:p>
            <w:pPr>
              <w:pStyle w:val="TableParagraph"/>
              <w:ind w:left="526" w:right="516"/>
              <w:jc w:val="center"/>
              <w:rPr>
                <w:sz w:val="21"/>
              </w:rPr>
            </w:pPr>
            <w:r>
              <w:rPr>
                <w:sz w:val="21"/>
              </w:rPr>
              <w:t>维修保养单位</w:t>
            </w:r>
          </w:p>
        </w:tc>
        <w:tc>
          <w:tcPr>
            <w:tcW w:w="6937" w:type="dxa"/>
            <w:gridSpan w:val="4"/>
          </w:tcPr>
          <w:p>
            <w:pPr>
              <w:pStyle w:val="TableParagraph"/>
              <w:rPr>
                <w:rFonts w:ascii="Times New Roman"/>
                <w:sz w:val="20"/>
              </w:rPr>
            </w:pPr>
          </w:p>
        </w:tc>
      </w:tr>
      <w:tr>
        <w:trPr>
          <w:trHeight w:val="686" w:hRule="atLeast"/>
        </w:trPr>
        <w:tc>
          <w:tcPr>
            <w:tcW w:w="2775" w:type="dxa"/>
          </w:tcPr>
          <w:p>
            <w:pPr>
              <w:pStyle w:val="TableParagraph"/>
              <w:spacing w:before="11"/>
              <w:rPr>
                <w:rFonts w:ascii="黑体"/>
                <w:sz w:val="17"/>
              </w:rPr>
            </w:pPr>
          </w:p>
          <w:p>
            <w:pPr>
              <w:pStyle w:val="TableParagraph"/>
              <w:ind w:left="526" w:right="516"/>
              <w:jc w:val="center"/>
              <w:rPr>
                <w:sz w:val="21"/>
              </w:rPr>
            </w:pPr>
            <w:r>
              <w:rPr>
                <w:sz w:val="21"/>
              </w:rPr>
              <w:t>排烟设施类型</w:t>
            </w:r>
          </w:p>
        </w:tc>
        <w:tc>
          <w:tcPr>
            <w:tcW w:w="6937" w:type="dxa"/>
            <w:gridSpan w:val="4"/>
          </w:tcPr>
          <w:p>
            <w:pPr>
              <w:pStyle w:val="TableParagraph"/>
              <w:spacing w:before="11"/>
              <w:rPr>
                <w:rFonts w:ascii="黑体"/>
                <w:sz w:val="17"/>
              </w:rPr>
            </w:pPr>
          </w:p>
          <w:p>
            <w:pPr>
              <w:pStyle w:val="TableParagraph"/>
              <w:ind w:left="1471"/>
              <w:rPr>
                <w:sz w:val="21"/>
              </w:rPr>
            </w:pPr>
            <w:r>
              <w:rPr>
                <w:sz w:val="21"/>
              </w:rPr>
              <w:t>(机械排烟设施)(可开启外窗自然排烟设施)</w:t>
            </w:r>
          </w:p>
        </w:tc>
      </w:tr>
    </w:tbl>
    <w:p>
      <w:pPr>
        <w:spacing w:after="0"/>
        <w:rPr>
          <w:sz w:val="21"/>
        </w:rPr>
        <w:sectPr>
          <w:pgSz w:w="11910" w:h="8400" w:orient="landscape"/>
          <w:pgMar w:header="0" w:footer="877" w:top="740" w:bottom="106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防烟系统</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6"/>
        <w:gridCol w:w="1848"/>
        <w:gridCol w:w="1325"/>
        <w:gridCol w:w="1193"/>
        <w:gridCol w:w="2533"/>
      </w:tblGrid>
      <w:tr>
        <w:trPr>
          <w:trHeight w:val="678" w:hRule="atLeast"/>
        </w:trPr>
        <w:tc>
          <w:tcPr>
            <w:tcW w:w="2736" w:type="dxa"/>
          </w:tcPr>
          <w:p>
            <w:pPr>
              <w:pStyle w:val="TableParagraph"/>
              <w:rPr>
                <w:rFonts w:ascii="黑体"/>
                <w:sz w:val="17"/>
              </w:rPr>
            </w:pPr>
          </w:p>
          <w:p>
            <w:pPr>
              <w:pStyle w:val="TableParagraph"/>
              <w:ind w:left="388" w:right="378"/>
              <w:jc w:val="center"/>
              <w:rPr>
                <w:rFonts w:ascii="仿宋" w:eastAsia="仿宋" w:hint="eastAsia"/>
                <w:sz w:val="24"/>
              </w:rPr>
            </w:pPr>
            <w:r>
              <w:rPr>
                <w:rFonts w:ascii="仿宋" w:eastAsia="仿宋" w:hint="eastAsia"/>
                <w:sz w:val="24"/>
              </w:rPr>
              <w:t>设置部位</w:t>
            </w:r>
          </w:p>
        </w:tc>
        <w:tc>
          <w:tcPr>
            <w:tcW w:w="6899" w:type="dxa"/>
            <w:gridSpan w:val="4"/>
          </w:tcPr>
          <w:p>
            <w:pPr>
              <w:pStyle w:val="TableParagraph"/>
              <w:rPr>
                <w:rFonts w:ascii="Times New Roman"/>
                <w:sz w:val="24"/>
              </w:rPr>
            </w:pPr>
          </w:p>
        </w:tc>
      </w:tr>
      <w:tr>
        <w:trPr>
          <w:trHeight w:val="681" w:hRule="atLeast"/>
        </w:trPr>
        <w:tc>
          <w:tcPr>
            <w:tcW w:w="2736" w:type="dxa"/>
          </w:tcPr>
          <w:p>
            <w:pPr>
              <w:pStyle w:val="TableParagraph"/>
              <w:spacing w:before="3"/>
              <w:rPr>
                <w:rFonts w:ascii="黑体"/>
                <w:sz w:val="17"/>
              </w:rPr>
            </w:pPr>
          </w:p>
          <w:p>
            <w:pPr>
              <w:pStyle w:val="TableParagraph"/>
              <w:ind w:left="388" w:right="378"/>
              <w:jc w:val="center"/>
              <w:rPr>
                <w:rFonts w:ascii="仿宋" w:eastAsia="仿宋" w:hint="eastAsia"/>
                <w:sz w:val="24"/>
              </w:rPr>
            </w:pPr>
            <w:r>
              <w:rPr>
                <w:rFonts w:ascii="仿宋" w:eastAsia="仿宋" w:hint="eastAsia"/>
                <w:sz w:val="24"/>
              </w:rPr>
              <w:t>正压风机数量(只)</w:t>
            </w:r>
          </w:p>
        </w:tc>
        <w:tc>
          <w:tcPr>
            <w:tcW w:w="1848" w:type="dxa"/>
          </w:tcPr>
          <w:p>
            <w:pPr>
              <w:pStyle w:val="TableParagraph"/>
              <w:rPr>
                <w:rFonts w:ascii="Times New Roman"/>
                <w:sz w:val="24"/>
              </w:rPr>
            </w:pPr>
          </w:p>
        </w:tc>
        <w:tc>
          <w:tcPr>
            <w:tcW w:w="2518" w:type="dxa"/>
            <w:gridSpan w:val="2"/>
          </w:tcPr>
          <w:p>
            <w:pPr>
              <w:pStyle w:val="TableParagraph"/>
              <w:spacing w:before="3"/>
              <w:rPr>
                <w:rFonts w:ascii="黑体"/>
                <w:sz w:val="17"/>
              </w:rPr>
            </w:pPr>
          </w:p>
          <w:p>
            <w:pPr>
              <w:pStyle w:val="TableParagraph"/>
              <w:ind w:left="540"/>
              <w:rPr>
                <w:rFonts w:ascii="仿宋" w:eastAsia="仿宋" w:hint="eastAsia"/>
                <w:sz w:val="24"/>
              </w:rPr>
            </w:pPr>
            <w:r>
              <w:rPr>
                <w:rFonts w:ascii="仿宋" w:eastAsia="仿宋" w:hint="eastAsia"/>
                <w:sz w:val="24"/>
              </w:rPr>
              <w:t>风机安装位置</w:t>
            </w:r>
          </w:p>
        </w:tc>
        <w:tc>
          <w:tcPr>
            <w:tcW w:w="2533" w:type="dxa"/>
          </w:tcPr>
          <w:p>
            <w:pPr>
              <w:pStyle w:val="TableParagraph"/>
              <w:rPr>
                <w:rFonts w:ascii="Times New Roman"/>
                <w:sz w:val="24"/>
              </w:rPr>
            </w:pPr>
          </w:p>
        </w:tc>
      </w:tr>
      <w:tr>
        <w:trPr>
          <w:trHeight w:val="678" w:hRule="atLeast"/>
        </w:trPr>
        <w:tc>
          <w:tcPr>
            <w:tcW w:w="2736" w:type="dxa"/>
          </w:tcPr>
          <w:p>
            <w:pPr>
              <w:pStyle w:val="TableParagraph"/>
              <w:rPr>
                <w:rFonts w:ascii="黑体"/>
                <w:sz w:val="17"/>
              </w:rPr>
            </w:pPr>
          </w:p>
          <w:p>
            <w:pPr>
              <w:pStyle w:val="TableParagraph"/>
              <w:ind w:left="388" w:right="378"/>
              <w:jc w:val="center"/>
              <w:rPr>
                <w:rFonts w:ascii="仿宋" w:eastAsia="仿宋" w:hint="eastAsia"/>
                <w:sz w:val="24"/>
              </w:rPr>
            </w:pPr>
            <w:r>
              <w:rPr>
                <w:rFonts w:ascii="仿宋" w:eastAsia="仿宋" w:hint="eastAsia"/>
                <w:sz w:val="24"/>
              </w:rPr>
              <w:t>风机类型</w:t>
            </w:r>
          </w:p>
        </w:tc>
        <w:tc>
          <w:tcPr>
            <w:tcW w:w="1848" w:type="dxa"/>
          </w:tcPr>
          <w:p>
            <w:pPr>
              <w:pStyle w:val="TableParagraph"/>
              <w:rPr>
                <w:rFonts w:ascii="Times New Roman"/>
                <w:sz w:val="24"/>
              </w:rPr>
            </w:pPr>
          </w:p>
        </w:tc>
        <w:tc>
          <w:tcPr>
            <w:tcW w:w="2518" w:type="dxa"/>
            <w:gridSpan w:val="2"/>
          </w:tcPr>
          <w:p>
            <w:pPr>
              <w:pStyle w:val="TableParagraph"/>
              <w:rPr>
                <w:rFonts w:ascii="黑体"/>
                <w:sz w:val="17"/>
              </w:rPr>
            </w:pPr>
          </w:p>
          <w:p>
            <w:pPr>
              <w:pStyle w:val="TableParagraph"/>
              <w:ind w:left="540"/>
              <w:rPr>
                <w:rFonts w:ascii="仿宋" w:eastAsia="仿宋" w:hint="eastAsia"/>
                <w:sz w:val="24"/>
              </w:rPr>
            </w:pPr>
            <w:r>
              <w:rPr>
                <w:rFonts w:ascii="仿宋" w:eastAsia="仿宋" w:hint="eastAsia"/>
                <w:sz w:val="24"/>
              </w:rPr>
              <w:t>风口设置部位</w:t>
            </w:r>
          </w:p>
        </w:tc>
        <w:tc>
          <w:tcPr>
            <w:tcW w:w="2533" w:type="dxa"/>
          </w:tcPr>
          <w:p>
            <w:pPr>
              <w:pStyle w:val="TableParagraph"/>
              <w:rPr>
                <w:rFonts w:ascii="Times New Roman"/>
                <w:sz w:val="24"/>
              </w:rPr>
            </w:pPr>
          </w:p>
        </w:tc>
      </w:tr>
      <w:tr>
        <w:trPr>
          <w:trHeight w:val="681" w:hRule="atLeast"/>
        </w:trPr>
        <w:tc>
          <w:tcPr>
            <w:tcW w:w="2736" w:type="dxa"/>
          </w:tcPr>
          <w:p>
            <w:pPr>
              <w:pStyle w:val="TableParagraph"/>
              <w:spacing w:before="221"/>
              <w:ind w:left="388" w:right="376"/>
              <w:jc w:val="center"/>
              <w:rPr>
                <w:rFonts w:ascii="仿宋" w:eastAsia="仿宋" w:hint="eastAsia"/>
                <w:sz w:val="24"/>
              </w:rPr>
            </w:pPr>
            <w:r>
              <w:rPr>
                <w:rFonts w:ascii="仿宋" w:eastAsia="仿宋" w:hint="eastAsia"/>
                <w:sz w:val="24"/>
              </w:rPr>
              <w:t>风机风量(m</w:t>
            </w:r>
            <w:r>
              <w:rPr>
                <w:rFonts w:ascii="仿宋" w:eastAsia="仿宋" w:hint="eastAsia"/>
                <w:position w:val="12"/>
                <w:sz w:val="12"/>
              </w:rPr>
              <w:t>3</w:t>
            </w:r>
            <w:r>
              <w:rPr>
                <w:rFonts w:ascii="仿宋" w:eastAsia="仿宋" w:hint="eastAsia"/>
                <w:sz w:val="24"/>
              </w:rPr>
              <w:t>/h)</w:t>
            </w:r>
          </w:p>
        </w:tc>
        <w:tc>
          <w:tcPr>
            <w:tcW w:w="1848" w:type="dxa"/>
          </w:tcPr>
          <w:p>
            <w:pPr>
              <w:pStyle w:val="TableParagraph"/>
              <w:rPr>
                <w:rFonts w:ascii="Times New Roman"/>
                <w:sz w:val="24"/>
              </w:rPr>
            </w:pPr>
          </w:p>
        </w:tc>
        <w:tc>
          <w:tcPr>
            <w:tcW w:w="1325" w:type="dxa"/>
          </w:tcPr>
          <w:p>
            <w:pPr>
              <w:pStyle w:val="TableParagraph"/>
              <w:spacing w:before="3"/>
              <w:rPr>
                <w:rFonts w:ascii="黑体"/>
                <w:sz w:val="17"/>
              </w:rPr>
            </w:pPr>
          </w:p>
          <w:p>
            <w:pPr>
              <w:pStyle w:val="TableParagraph"/>
              <w:ind w:left="183"/>
              <w:rPr>
                <w:rFonts w:ascii="仿宋" w:eastAsia="仿宋" w:hint="eastAsia"/>
                <w:sz w:val="24"/>
              </w:rPr>
            </w:pPr>
            <w:r>
              <w:rPr>
                <w:rFonts w:ascii="仿宋" w:eastAsia="仿宋" w:hint="eastAsia"/>
                <w:sz w:val="24"/>
              </w:rPr>
              <w:t>系统状态</w:t>
            </w:r>
          </w:p>
        </w:tc>
        <w:tc>
          <w:tcPr>
            <w:tcW w:w="3726" w:type="dxa"/>
            <w:gridSpan w:val="2"/>
          </w:tcPr>
          <w:p>
            <w:pPr>
              <w:pStyle w:val="TableParagraph"/>
              <w:spacing w:before="3"/>
              <w:rPr>
                <w:rFonts w:ascii="黑体"/>
                <w:sz w:val="17"/>
              </w:rPr>
            </w:pPr>
          </w:p>
          <w:p>
            <w:pPr>
              <w:pStyle w:val="TableParagraph"/>
              <w:ind w:left="303"/>
              <w:rPr>
                <w:rFonts w:ascii="仿宋" w:eastAsia="仿宋" w:hint="eastAsia"/>
                <w:sz w:val="24"/>
              </w:rPr>
            </w:pPr>
            <w:r>
              <w:rPr>
                <w:rFonts w:ascii="仿宋" w:eastAsia="仿宋" w:hint="eastAsia"/>
                <w:sz w:val="24"/>
              </w:rPr>
              <w:t>(正常) (不正常) (不能使用)</w:t>
            </w:r>
          </w:p>
        </w:tc>
      </w:tr>
      <w:tr>
        <w:trPr>
          <w:trHeight w:val="678" w:hRule="atLeast"/>
        </w:trPr>
        <w:tc>
          <w:tcPr>
            <w:tcW w:w="2736" w:type="dxa"/>
          </w:tcPr>
          <w:p>
            <w:pPr>
              <w:pStyle w:val="TableParagraph"/>
              <w:rPr>
                <w:rFonts w:ascii="黑体"/>
                <w:sz w:val="17"/>
              </w:rPr>
            </w:pPr>
          </w:p>
          <w:p>
            <w:pPr>
              <w:pStyle w:val="TableParagraph"/>
              <w:ind w:left="388" w:right="378"/>
              <w:jc w:val="center"/>
              <w:rPr>
                <w:rFonts w:ascii="仿宋" w:eastAsia="仿宋" w:hint="eastAsia"/>
                <w:sz w:val="24"/>
              </w:rPr>
            </w:pPr>
            <w:r>
              <w:rPr>
                <w:rFonts w:ascii="仿宋" w:eastAsia="仿宋" w:hint="eastAsia"/>
                <w:sz w:val="24"/>
              </w:rPr>
              <w:t>动作方式</w:t>
            </w:r>
          </w:p>
        </w:tc>
        <w:tc>
          <w:tcPr>
            <w:tcW w:w="6899" w:type="dxa"/>
            <w:gridSpan w:val="4"/>
          </w:tcPr>
          <w:p>
            <w:pPr>
              <w:pStyle w:val="TableParagraph"/>
              <w:rPr>
                <w:rFonts w:ascii="黑体"/>
                <w:sz w:val="17"/>
              </w:rPr>
            </w:pPr>
          </w:p>
          <w:p>
            <w:pPr>
              <w:pStyle w:val="TableParagraph"/>
              <w:ind w:left="790" w:right="779"/>
              <w:jc w:val="center"/>
              <w:rPr>
                <w:rFonts w:ascii="仿宋" w:eastAsia="仿宋" w:hint="eastAsia"/>
                <w:sz w:val="24"/>
              </w:rPr>
            </w:pPr>
            <w:r>
              <w:rPr>
                <w:rFonts w:ascii="仿宋" w:eastAsia="仿宋" w:hint="eastAsia"/>
                <w:sz w:val="24"/>
              </w:rPr>
              <w:t>(联动控制) (手动控制) (消防控制室控制)</w:t>
            </w:r>
          </w:p>
        </w:tc>
      </w:tr>
      <w:tr>
        <w:trPr>
          <w:trHeight w:val="681" w:hRule="atLeast"/>
        </w:trPr>
        <w:tc>
          <w:tcPr>
            <w:tcW w:w="2736" w:type="dxa"/>
          </w:tcPr>
          <w:p>
            <w:pPr>
              <w:pStyle w:val="TableParagraph"/>
              <w:spacing w:before="3"/>
              <w:rPr>
                <w:rFonts w:ascii="黑体"/>
                <w:sz w:val="17"/>
              </w:rPr>
            </w:pPr>
          </w:p>
          <w:p>
            <w:pPr>
              <w:pStyle w:val="TableParagraph"/>
              <w:ind w:left="388" w:right="378"/>
              <w:jc w:val="center"/>
              <w:rPr>
                <w:rFonts w:ascii="仿宋" w:eastAsia="仿宋" w:hint="eastAsia"/>
                <w:sz w:val="24"/>
              </w:rPr>
            </w:pPr>
            <w:r>
              <w:rPr>
                <w:rFonts w:ascii="仿宋" w:eastAsia="仿宋" w:hint="eastAsia"/>
                <w:sz w:val="24"/>
              </w:rPr>
              <w:t>责任部门及责任人</w:t>
            </w:r>
          </w:p>
        </w:tc>
        <w:tc>
          <w:tcPr>
            <w:tcW w:w="6899" w:type="dxa"/>
            <w:gridSpan w:val="4"/>
          </w:tcPr>
          <w:p>
            <w:pPr>
              <w:pStyle w:val="TableParagraph"/>
              <w:rPr>
                <w:rFonts w:ascii="Times New Roman"/>
                <w:sz w:val="24"/>
              </w:rPr>
            </w:pPr>
          </w:p>
        </w:tc>
      </w:tr>
      <w:tr>
        <w:trPr>
          <w:trHeight w:val="678" w:hRule="atLeast"/>
        </w:trPr>
        <w:tc>
          <w:tcPr>
            <w:tcW w:w="2736" w:type="dxa"/>
          </w:tcPr>
          <w:p>
            <w:pPr>
              <w:pStyle w:val="TableParagraph"/>
              <w:rPr>
                <w:rFonts w:ascii="黑体"/>
                <w:sz w:val="17"/>
              </w:rPr>
            </w:pPr>
          </w:p>
          <w:p>
            <w:pPr>
              <w:pStyle w:val="TableParagraph"/>
              <w:ind w:left="388" w:right="378"/>
              <w:jc w:val="center"/>
              <w:rPr>
                <w:rFonts w:ascii="仿宋" w:eastAsia="仿宋" w:hint="eastAsia"/>
                <w:sz w:val="24"/>
              </w:rPr>
            </w:pPr>
            <w:r>
              <w:rPr>
                <w:rFonts w:ascii="仿宋" w:eastAsia="仿宋" w:hint="eastAsia"/>
                <w:sz w:val="24"/>
              </w:rPr>
              <w:t>维修保养单位</w:t>
            </w:r>
          </w:p>
        </w:tc>
        <w:tc>
          <w:tcPr>
            <w:tcW w:w="6899" w:type="dxa"/>
            <w:gridSpan w:val="4"/>
          </w:tcPr>
          <w:p>
            <w:pPr>
              <w:pStyle w:val="TableParagraph"/>
              <w:rPr>
                <w:rFonts w:ascii="Times New Roman"/>
                <w:sz w:val="24"/>
              </w:rPr>
            </w:pPr>
          </w:p>
        </w:tc>
      </w:tr>
      <w:tr>
        <w:trPr>
          <w:trHeight w:val="681" w:hRule="atLeast"/>
        </w:trPr>
        <w:tc>
          <w:tcPr>
            <w:tcW w:w="2736" w:type="dxa"/>
          </w:tcPr>
          <w:p>
            <w:pPr>
              <w:pStyle w:val="TableParagraph"/>
              <w:spacing w:before="2"/>
              <w:rPr>
                <w:rFonts w:ascii="黑体"/>
                <w:sz w:val="17"/>
              </w:rPr>
            </w:pPr>
          </w:p>
          <w:p>
            <w:pPr>
              <w:pStyle w:val="TableParagraph"/>
              <w:ind w:left="388" w:right="378"/>
              <w:jc w:val="center"/>
              <w:rPr>
                <w:rFonts w:ascii="仿宋" w:eastAsia="仿宋" w:hint="eastAsia"/>
                <w:sz w:val="24"/>
              </w:rPr>
            </w:pPr>
            <w:r>
              <w:rPr>
                <w:rFonts w:ascii="仿宋" w:eastAsia="仿宋" w:hint="eastAsia"/>
                <w:sz w:val="24"/>
              </w:rPr>
              <w:t>防烟设施类型</w:t>
            </w:r>
          </w:p>
        </w:tc>
        <w:tc>
          <w:tcPr>
            <w:tcW w:w="6899" w:type="dxa"/>
            <w:gridSpan w:val="4"/>
          </w:tcPr>
          <w:p>
            <w:pPr>
              <w:pStyle w:val="TableParagraph"/>
              <w:spacing w:before="2"/>
              <w:rPr>
                <w:rFonts w:ascii="黑体"/>
                <w:sz w:val="17"/>
              </w:rPr>
            </w:pPr>
          </w:p>
          <w:p>
            <w:pPr>
              <w:pStyle w:val="TableParagraph"/>
              <w:ind w:left="790" w:right="779"/>
              <w:jc w:val="center"/>
              <w:rPr>
                <w:rFonts w:ascii="仿宋" w:eastAsia="仿宋" w:hint="eastAsia"/>
                <w:sz w:val="24"/>
              </w:rPr>
            </w:pPr>
            <w:r>
              <w:rPr>
                <w:rFonts w:ascii="仿宋" w:eastAsia="仿宋" w:hint="eastAsia"/>
                <w:sz w:val="24"/>
              </w:rPr>
              <w:t>(机械加压的防烟设施)(可开启外窗自然防烟设施)</w:t>
            </w:r>
          </w:p>
        </w:tc>
      </w:tr>
    </w:tbl>
    <w:p>
      <w:pPr>
        <w:spacing w:after="0"/>
        <w:jc w:val="center"/>
        <w:rPr>
          <w:rFonts w:ascii="仿宋" w:eastAsia="仿宋" w:hint="eastAsia"/>
          <w:sz w:val="24"/>
        </w:rPr>
        <w:sectPr>
          <w:pgSz w:w="11910" w:h="8400" w:orient="landscape"/>
          <w:pgMar w:header="0" w:footer="836" w:top="740" w:bottom="102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灭火器档案</w:t>
      </w:r>
    </w:p>
    <w:tbl>
      <w:tblPr>
        <w:tblW w:w="0" w:type="auto"/>
        <w:jc w:val="left"/>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82"/>
        <w:gridCol w:w="1327"/>
        <w:gridCol w:w="927"/>
        <w:gridCol w:w="1846"/>
        <w:gridCol w:w="1482"/>
        <w:gridCol w:w="1347"/>
        <w:gridCol w:w="1556"/>
      </w:tblGrid>
      <w:tr>
        <w:trPr>
          <w:trHeight w:val="878" w:hRule="atLeast"/>
        </w:trPr>
        <w:tc>
          <w:tcPr>
            <w:tcW w:w="1282" w:type="dxa"/>
          </w:tcPr>
          <w:p>
            <w:pPr>
              <w:pStyle w:val="TableParagraph"/>
              <w:spacing w:before="10"/>
              <w:rPr>
                <w:rFonts w:ascii="黑体"/>
                <w:sz w:val="25"/>
              </w:rPr>
            </w:pPr>
          </w:p>
          <w:p>
            <w:pPr>
              <w:pStyle w:val="TableParagraph"/>
              <w:ind w:left="160"/>
              <w:rPr>
                <w:rFonts w:ascii="仿宋" w:eastAsia="仿宋" w:hint="eastAsia"/>
                <w:sz w:val="24"/>
              </w:rPr>
            </w:pPr>
            <w:r>
              <w:rPr>
                <w:rFonts w:ascii="仿宋" w:eastAsia="仿宋" w:hint="eastAsia"/>
                <w:sz w:val="24"/>
              </w:rPr>
              <w:t>设置部位</w:t>
            </w:r>
          </w:p>
        </w:tc>
        <w:tc>
          <w:tcPr>
            <w:tcW w:w="1327" w:type="dxa"/>
          </w:tcPr>
          <w:p>
            <w:pPr>
              <w:pStyle w:val="TableParagraph"/>
              <w:spacing w:before="10"/>
              <w:rPr>
                <w:rFonts w:ascii="黑体"/>
                <w:sz w:val="25"/>
              </w:rPr>
            </w:pPr>
          </w:p>
          <w:p>
            <w:pPr>
              <w:pStyle w:val="TableParagraph"/>
              <w:ind w:left="184"/>
              <w:rPr>
                <w:rFonts w:ascii="仿宋" w:eastAsia="仿宋" w:hint="eastAsia"/>
                <w:sz w:val="24"/>
              </w:rPr>
            </w:pPr>
            <w:r>
              <w:rPr>
                <w:rFonts w:ascii="仿宋" w:eastAsia="仿宋" w:hint="eastAsia"/>
                <w:sz w:val="24"/>
              </w:rPr>
              <w:t>配置类型</w:t>
            </w:r>
          </w:p>
        </w:tc>
        <w:tc>
          <w:tcPr>
            <w:tcW w:w="927" w:type="dxa"/>
          </w:tcPr>
          <w:p>
            <w:pPr>
              <w:pStyle w:val="TableParagraph"/>
              <w:spacing w:before="10"/>
              <w:rPr>
                <w:rFonts w:ascii="黑体"/>
                <w:sz w:val="25"/>
              </w:rPr>
            </w:pPr>
          </w:p>
          <w:p>
            <w:pPr>
              <w:pStyle w:val="TableParagraph"/>
              <w:ind w:left="223"/>
              <w:rPr>
                <w:rFonts w:ascii="仿宋" w:eastAsia="仿宋" w:hint="eastAsia"/>
                <w:sz w:val="24"/>
              </w:rPr>
            </w:pPr>
            <w:r>
              <w:rPr>
                <w:rFonts w:ascii="仿宋" w:eastAsia="仿宋" w:hint="eastAsia"/>
                <w:sz w:val="24"/>
              </w:rPr>
              <w:t>数量</w:t>
            </w:r>
          </w:p>
        </w:tc>
        <w:tc>
          <w:tcPr>
            <w:tcW w:w="1846" w:type="dxa"/>
          </w:tcPr>
          <w:p>
            <w:pPr>
              <w:pStyle w:val="TableParagraph"/>
              <w:spacing w:before="10"/>
              <w:rPr>
                <w:rFonts w:ascii="黑体"/>
                <w:sz w:val="25"/>
              </w:rPr>
            </w:pPr>
          </w:p>
          <w:p>
            <w:pPr>
              <w:pStyle w:val="TableParagraph"/>
              <w:ind w:left="201"/>
              <w:rPr>
                <w:rFonts w:ascii="仿宋" w:eastAsia="仿宋" w:hint="eastAsia"/>
                <w:sz w:val="24"/>
              </w:rPr>
            </w:pPr>
            <w:r>
              <w:rPr>
                <w:rFonts w:ascii="仿宋" w:eastAsia="仿宋" w:hint="eastAsia"/>
                <w:sz w:val="24"/>
              </w:rPr>
              <w:t>检查保养单位</w:t>
            </w:r>
          </w:p>
        </w:tc>
        <w:tc>
          <w:tcPr>
            <w:tcW w:w="1482" w:type="dxa"/>
          </w:tcPr>
          <w:p>
            <w:pPr>
              <w:pStyle w:val="TableParagraph"/>
              <w:spacing w:before="10"/>
              <w:rPr>
                <w:rFonts w:ascii="黑体"/>
                <w:sz w:val="25"/>
              </w:rPr>
            </w:pPr>
          </w:p>
          <w:p>
            <w:pPr>
              <w:pStyle w:val="TableParagraph"/>
              <w:ind w:left="259"/>
              <w:rPr>
                <w:rFonts w:ascii="仿宋" w:eastAsia="仿宋" w:hint="eastAsia"/>
                <w:sz w:val="24"/>
              </w:rPr>
            </w:pPr>
            <w:r>
              <w:rPr>
                <w:rFonts w:ascii="仿宋" w:eastAsia="仿宋" w:hint="eastAsia"/>
                <w:sz w:val="24"/>
              </w:rPr>
              <w:t>生产日期</w:t>
            </w:r>
          </w:p>
        </w:tc>
        <w:tc>
          <w:tcPr>
            <w:tcW w:w="1347" w:type="dxa"/>
          </w:tcPr>
          <w:p>
            <w:pPr>
              <w:pStyle w:val="TableParagraph"/>
              <w:spacing w:line="440" w:lineRule="exact"/>
              <w:ind w:left="430" w:right="189" w:hanging="240"/>
              <w:rPr>
                <w:rFonts w:ascii="仿宋" w:eastAsia="仿宋" w:hint="eastAsia"/>
                <w:sz w:val="24"/>
              </w:rPr>
            </w:pPr>
            <w:r>
              <w:rPr>
                <w:rFonts w:ascii="仿宋" w:eastAsia="仿宋" w:hint="eastAsia"/>
                <w:sz w:val="24"/>
              </w:rPr>
              <w:t>更换药剂时间</w:t>
            </w:r>
          </w:p>
        </w:tc>
        <w:tc>
          <w:tcPr>
            <w:tcW w:w="1556" w:type="dxa"/>
          </w:tcPr>
          <w:p>
            <w:pPr>
              <w:pStyle w:val="TableParagraph"/>
              <w:spacing w:before="10"/>
              <w:rPr>
                <w:rFonts w:ascii="黑体"/>
                <w:sz w:val="25"/>
              </w:rPr>
            </w:pPr>
          </w:p>
          <w:p>
            <w:pPr>
              <w:pStyle w:val="TableParagraph"/>
              <w:ind w:left="176"/>
              <w:rPr>
                <w:rFonts w:ascii="仿宋" w:eastAsia="仿宋" w:hint="eastAsia"/>
                <w:sz w:val="24"/>
              </w:rPr>
            </w:pPr>
            <w:r>
              <w:rPr>
                <w:rFonts w:ascii="仿宋" w:eastAsia="仿宋" w:hint="eastAsia"/>
                <w:sz w:val="24"/>
              </w:rPr>
              <w:t>日常检查人</w:t>
            </w:r>
          </w:p>
        </w:tc>
      </w:tr>
      <w:tr>
        <w:trPr>
          <w:trHeight w:val="555"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58"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59"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56"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59"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69"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71"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r>
        <w:trPr>
          <w:trHeight w:val="571" w:hRule="atLeast"/>
        </w:trPr>
        <w:tc>
          <w:tcPr>
            <w:tcW w:w="1282" w:type="dxa"/>
          </w:tcPr>
          <w:p>
            <w:pPr>
              <w:pStyle w:val="TableParagraph"/>
              <w:rPr>
                <w:rFonts w:ascii="Times New Roman"/>
                <w:sz w:val="24"/>
              </w:rPr>
            </w:pPr>
          </w:p>
        </w:tc>
        <w:tc>
          <w:tcPr>
            <w:tcW w:w="1327" w:type="dxa"/>
          </w:tcPr>
          <w:p>
            <w:pPr>
              <w:pStyle w:val="TableParagraph"/>
              <w:rPr>
                <w:rFonts w:ascii="Times New Roman"/>
                <w:sz w:val="24"/>
              </w:rPr>
            </w:pPr>
          </w:p>
        </w:tc>
        <w:tc>
          <w:tcPr>
            <w:tcW w:w="927" w:type="dxa"/>
          </w:tcPr>
          <w:p>
            <w:pPr>
              <w:pStyle w:val="TableParagraph"/>
              <w:rPr>
                <w:rFonts w:ascii="Times New Roman"/>
                <w:sz w:val="24"/>
              </w:rPr>
            </w:pPr>
          </w:p>
        </w:tc>
        <w:tc>
          <w:tcPr>
            <w:tcW w:w="1846" w:type="dxa"/>
          </w:tcPr>
          <w:p>
            <w:pPr>
              <w:pStyle w:val="TableParagraph"/>
              <w:rPr>
                <w:rFonts w:ascii="Times New Roman"/>
                <w:sz w:val="24"/>
              </w:rPr>
            </w:pPr>
          </w:p>
        </w:tc>
        <w:tc>
          <w:tcPr>
            <w:tcW w:w="1482" w:type="dxa"/>
          </w:tcPr>
          <w:p>
            <w:pPr>
              <w:pStyle w:val="TableParagraph"/>
              <w:rPr>
                <w:rFonts w:ascii="Times New Roman"/>
                <w:sz w:val="24"/>
              </w:rPr>
            </w:pPr>
          </w:p>
        </w:tc>
        <w:tc>
          <w:tcPr>
            <w:tcW w:w="1347" w:type="dxa"/>
          </w:tcPr>
          <w:p>
            <w:pPr>
              <w:pStyle w:val="TableParagraph"/>
              <w:rPr>
                <w:rFonts w:ascii="Times New Roman"/>
                <w:sz w:val="24"/>
              </w:rPr>
            </w:pPr>
          </w:p>
        </w:tc>
        <w:tc>
          <w:tcPr>
            <w:tcW w:w="1556" w:type="dxa"/>
          </w:tcPr>
          <w:p>
            <w:pPr>
              <w:pStyle w:val="TableParagraph"/>
              <w:rPr>
                <w:rFonts w:ascii="Times New Roman"/>
                <w:sz w:val="24"/>
              </w:rPr>
            </w:pPr>
          </w:p>
        </w:tc>
      </w:tr>
    </w:tbl>
    <w:p>
      <w:pPr>
        <w:spacing w:after="0"/>
        <w:rPr>
          <w:rFonts w:ascii="Times New Roman"/>
          <w:sz w:val="24"/>
        </w:rPr>
        <w:sectPr>
          <w:pgSz w:w="11910" w:h="8400" w:orient="landscape"/>
          <w:pgMar w:header="0" w:footer="877" w:top="740" w:bottom="106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疏散指示标志</w:t>
      </w:r>
    </w:p>
    <w:tbl>
      <w:tblPr>
        <w:tblW w:w="0" w:type="auto"/>
        <w:jc w:val="left"/>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0"/>
        <w:gridCol w:w="976"/>
        <w:gridCol w:w="3123"/>
        <w:gridCol w:w="2073"/>
        <w:gridCol w:w="1747"/>
      </w:tblGrid>
      <w:tr>
        <w:trPr>
          <w:trHeight w:val="496" w:hRule="atLeast"/>
        </w:trPr>
        <w:tc>
          <w:tcPr>
            <w:tcW w:w="1860" w:type="dxa"/>
          </w:tcPr>
          <w:p>
            <w:pPr>
              <w:pStyle w:val="TableParagraph"/>
              <w:spacing w:before="171"/>
              <w:ind w:left="509"/>
              <w:rPr>
                <w:sz w:val="21"/>
              </w:rPr>
            </w:pPr>
            <w:r>
              <w:rPr>
                <w:sz w:val="21"/>
              </w:rPr>
              <w:t>设置部位</w:t>
            </w:r>
          </w:p>
        </w:tc>
        <w:tc>
          <w:tcPr>
            <w:tcW w:w="976" w:type="dxa"/>
          </w:tcPr>
          <w:p>
            <w:pPr>
              <w:pStyle w:val="TableParagraph"/>
              <w:spacing w:before="171"/>
              <w:ind w:left="278"/>
              <w:rPr>
                <w:sz w:val="21"/>
              </w:rPr>
            </w:pPr>
            <w:r>
              <w:rPr>
                <w:sz w:val="21"/>
              </w:rPr>
              <w:t>数量</w:t>
            </w:r>
          </w:p>
        </w:tc>
        <w:tc>
          <w:tcPr>
            <w:tcW w:w="3123" w:type="dxa"/>
          </w:tcPr>
          <w:p>
            <w:pPr>
              <w:pStyle w:val="TableParagraph"/>
              <w:spacing w:before="171"/>
              <w:ind w:left="1122" w:right="1110"/>
              <w:jc w:val="center"/>
              <w:rPr>
                <w:sz w:val="21"/>
              </w:rPr>
            </w:pPr>
            <w:r>
              <w:rPr>
                <w:sz w:val="21"/>
              </w:rPr>
              <w:t>生产单位</w:t>
            </w:r>
          </w:p>
        </w:tc>
        <w:tc>
          <w:tcPr>
            <w:tcW w:w="2073" w:type="dxa"/>
          </w:tcPr>
          <w:p>
            <w:pPr>
              <w:pStyle w:val="TableParagraph"/>
              <w:spacing w:before="171"/>
              <w:ind w:left="808" w:right="795"/>
              <w:jc w:val="center"/>
              <w:rPr>
                <w:sz w:val="21"/>
              </w:rPr>
            </w:pPr>
            <w:r>
              <w:rPr>
                <w:sz w:val="21"/>
              </w:rPr>
              <w:t>型号</w:t>
            </w:r>
          </w:p>
        </w:tc>
        <w:tc>
          <w:tcPr>
            <w:tcW w:w="1747" w:type="dxa"/>
          </w:tcPr>
          <w:p>
            <w:pPr>
              <w:pStyle w:val="TableParagraph"/>
              <w:spacing w:before="171"/>
              <w:ind w:left="350"/>
              <w:rPr>
                <w:sz w:val="21"/>
              </w:rPr>
            </w:pPr>
            <w:r>
              <w:rPr>
                <w:sz w:val="21"/>
              </w:rPr>
              <w:t>日常检查人</w:t>
            </w:r>
          </w:p>
        </w:tc>
      </w:tr>
      <w:tr>
        <w:trPr>
          <w:trHeight w:val="499"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498"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498"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501"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498"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518"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520"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520"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520"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r>
        <w:trPr>
          <w:trHeight w:val="520" w:hRule="atLeast"/>
        </w:trPr>
        <w:tc>
          <w:tcPr>
            <w:tcW w:w="1860" w:type="dxa"/>
          </w:tcPr>
          <w:p>
            <w:pPr>
              <w:pStyle w:val="TableParagraph"/>
              <w:rPr>
                <w:rFonts w:ascii="Times New Roman"/>
                <w:sz w:val="22"/>
              </w:rPr>
            </w:pPr>
          </w:p>
        </w:tc>
        <w:tc>
          <w:tcPr>
            <w:tcW w:w="976" w:type="dxa"/>
          </w:tcPr>
          <w:p>
            <w:pPr>
              <w:pStyle w:val="TableParagraph"/>
              <w:rPr>
                <w:rFonts w:ascii="Times New Roman"/>
                <w:sz w:val="22"/>
              </w:rPr>
            </w:pPr>
          </w:p>
        </w:tc>
        <w:tc>
          <w:tcPr>
            <w:tcW w:w="3123" w:type="dxa"/>
          </w:tcPr>
          <w:p>
            <w:pPr>
              <w:pStyle w:val="TableParagraph"/>
              <w:rPr>
                <w:rFonts w:ascii="Times New Roman"/>
                <w:sz w:val="22"/>
              </w:rPr>
            </w:pPr>
          </w:p>
        </w:tc>
        <w:tc>
          <w:tcPr>
            <w:tcW w:w="2073" w:type="dxa"/>
          </w:tcPr>
          <w:p>
            <w:pPr>
              <w:pStyle w:val="TableParagraph"/>
              <w:rPr>
                <w:rFonts w:ascii="Times New Roman"/>
                <w:sz w:val="22"/>
              </w:rPr>
            </w:pPr>
          </w:p>
        </w:tc>
        <w:tc>
          <w:tcPr>
            <w:tcW w:w="1747" w:type="dxa"/>
          </w:tcPr>
          <w:p>
            <w:pPr>
              <w:pStyle w:val="TableParagraph"/>
              <w:rPr>
                <w:rFonts w:ascii="Times New Roman"/>
                <w:sz w:val="22"/>
              </w:rPr>
            </w:pPr>
          </w:p>
        </w:tc>
      </w:tr>
    </w:tbl>
    <w:p>
      <w:pPr>
        <w:spacing w:after="0"/>
        <w:rPr>
          <w:rFonts w:ascii="Times New Roman"/>
          <w:sz w:val="22"/>
        </w:rPr>
        <w:sectPr>
          <w:pgSz w:w="11910" w:h="8400" w:orient="landscape"/>
          <w:pgMar w:header="0" w:footer="836" w:top="740" w:bottom="102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应急照明</w: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974"/>
        <w:gridCol w:w="3118"/>
        <w:gridCol w:w="2068"/>
        <w:gridCol w:w="1766"/>
      </w:tblGrid>
      <w:tr>
        <w:trPr>
          <w:trHeight w:val="470" w:hRule="atLeast"/>
        </w:trPr>
        <w:tc>
          <w:tcPr>
            <w:tcW w:w="1937" w:type="dxa"/>
          </w:tcPr>
          <w:p>
            <w:pPr>
              <w:pStyle w:val="TableParagraph"/>
              <w:spacing w:before="157"/>
              <w:ind w:left="547"/>
              <w:rPr>
                <w:sz w:val="21"/>
              </w:rPr>
            </w:pPr>
            <w:r>
              <w:rPr>
                <w:sz w:val="21"/>
              </w:rPr>
              <w:t>设置部位</w:t>
            </w:r>
          </w:p>
        </w:tc>
        <w:tc>
          <w:tcPr>
            <w:tcW w:w="974" w:type="dxa"/>
          </w:tcPr>
          <w:p>
            <w:pPr>
              <w:pStyle w:val="TableParagraph"/>
              <w:spacing w:before="157"/>
              <w:ind w:left="278"/>
              <w:rPr>
                <w:sz w:val="21"/>
              </w:rPr>
            </w:pPr>
            <w:r>
              <w:rPr>
                <w:sz w:val="21"/>
              </w:rPr>
              <w:t>数量</w:t>
            </w:r>
          </w:p>
        </w:tc>
        <w:tc>
          <w:tcPr>
            <w:tcW w:w="3118" w:type="dxa"/>
          </w:tcPr>
          <w:p>
            <w:pPr>
              <w:pStyle w:val="TableParagraph"/>
              <w:spacing w:before="157"/>
              <w:ind w:left="1122" w:right="1106"/>
              <w:jc w:val="center"/>
              <w:rPr>
                <w:sz w:val="21"/>
              </w:rPr>
            </w:pPr>
            <w:r>
              <w:rPr>
                <w:sz w:val="21"/>
              </w:rPr>
              <w:t>生产单位</w:t>
            </w:r>
          </w:p>
        </w:tc>
        <w:tc>
          <w:tcPr>
            <w:tcW w:w="2068" w:type="dxa"/>
          </w:tcPr>
          <w:p>
            <w:pPr>
              <w:pStyle w:val="TableParagraph"/>
              <w:spacing w:before="157"/>
              <w:ind w:left="805" w:right="793"/>
              <w:jc w:val="center"/>
              <w:rPr>
                <w:sz w:val="21"/>
              </w:rPr>
            </w:pPr>
            <w:r>
              <w:rPr>
                <w:sz w:val="21"/>
              </w:rPr>
              <w:t>型号</w:t>
            </w:r>
          </w:p>
        </w:tc>
        <w:tc>
          <w:tcPr>
            <w:tcW w:w="1766" w:type="dxa"/>
          </w:tcPr>
          <w:p>
            <w:pPr>
              <w:pStyle w:val="TableParagraph"/>
              <w:spacing w:before="157"/>
              <w:ind w:left="360"/>
              <w:rPr>
                <w:sz w:val="21"/>
              </w:rPr>
            </w:pPr>
            <w:r>
              <w:rPr>
                <w:sz w:val="21"/>
              </w:rPr>
              <w:t>日常检查人</w:t>
            </w:r>
          </w:p>
        </w:tc>
      </w:tr>
      <w:tr>
        <w:trPr>
          <w:trHeight w:val="470"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69"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72"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70"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72"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89"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91"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92"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91"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r>
        <w:trPr>
          <w:trHeight w:val="491" w:hRule="atLeast"/>
        </w:trPr>
        <w:tc>
          <w:tcPr>
            <w:tcW w:w="1937" w:type="dxa"/>
          </w:tcPr>
          <w:p>
            <w:pPr>
              <w:pStyle w:val="TableParagraph"/>
              <w:rPr>
                <w:rFonts w:ascii="Times New Roman"/>
                <w:sz w:val="22"/>
              </w:rPr>
            </w:pPr>
          </w:p>
        </w:tc>
        <w:tc>
          <w:tcPr>
            <w:tcW w:w="974" w:type="dxa"/>
          </w:tcPr>
          <w:p>
            <w:pPr>
              <w:pStyle w:val="TableParagraph"/>
              <w:rPr>
                <w:rFonts w:ascii="Times New Roman"/>
                <w:sz w:val="22"/>
              </w:rPr>
            </w:pPr>
          </w:p>
        </w:tc>
        <w:tc>
          <w:tcPr>
            <w:tcW w:w="3118" w:type="dxa"/>
          </w:tcPr>
          <w:p>
            <w:pPr>
              <w:pStyle w:val="TableParagraph"/>
              <w:rPr>
                <w:rFonts w:ascii="Times New Roman"/>
                <w:sz w:val="22"/>
              </w:rPr>
            </w:pPr>
          </w:p>
        </w:tc>
        <w:tc>
          <w:tcPr>
            <w:tcW w:w="2068" w:type="dxa"/>
          </w:tcPr>
          <w:p>
            <w:pPr>
              <w:pStyle w:val="TableParagraph"/>
              <w:rPr>
                <w:rFonts w:ascii="Times New Roman"/>
                <w:sz w:val="22"/>
              </w:rPr>
            </w:pPr>
          </w:p>
        </w:tc>
        <w:tc>
          <w:tcPr>
            <w:tcW w:w="1766" w:type="dxa"/>
          </w:tcPr>
          <w:p>
            <w:pPr>
              <w:pStyle w:val="TableParagraph"/>
              <w:rPr>
                <w:rFonts w:ascii="Times New Roman"/>
                <w:sz w:val="22"/>
              </w:rPr>
            </w:pPr>
          </w:p>
        </w:tc>
      </w:tr>
    </w:tbl>
    <w:p>
      <w:pPr>
        <w:spacing w:after="0"/>
        <w:rPr>
          <w:rFonts w:ascii="Times New Roman"/>
          <w:sz w:val="22"/>
        </w:rPr>
        <w:sectPr>
          <w:pgSz w:w="11910" w:h="8400" w:orient="landscape"/>
          <w:pgMar w:header="0" w:footer="877" w:top="740" w:bottom="106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重点部位及消防安全责任人</w:t>
      </w:r>
    </w:p>
    <w:tbl>
      <w:tblPr>
        <w:tblW w:w="0" w:type="auto"/>
        <w:jc w:val="left"/>
        <w:tblInd w:w="1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12"/>
        <w:gridCol w:w="4640"/>
        <w:gridCol w:w="2023"/>
        <w:gridCol w:w="1932"/>
      </w:tblGrid>
      <w:tr>
        <w:trPr>
          <w:trHeight w:val="431" w:hRule="atLeast"/>
        </w:trPr>
        <w:tc>
          <w:tcPr>
            <w:tcW w:w="1212" w:type="dxa"/>
          </w:tcPr>
          <w:p>
            <w:pPr>
              <w:pStyle w:val="TableParagraph"/>
              <w:spacing w:before="80"/>
              <w:ind w:left="398"/>
              <w:rPr>
                <w:sz w:val="21"/>
              </w:rPr>
            </w:pPr>
            <w:r>
              <w:rPr>
                <w:sz w:val="21"/>
              </w:rPr>
              <w:t>序号</w:t>
            </w:r>
          </w:p>
        </w:tc>
        <w:tc>
          <w:tcPr>
            <w:tcW w:w="4640" w:type="dxa"/>
          </w:tcPr>
          <w:p>
            <w:pPr>
              <w:pStyle w:val="TableParagraph"/>
              <w:spacing w:before="80"/>
              <w:ind w:left="1428"/>
              <w:rPr>
                <w:sz w:val="21"/>
              </w:rPr>
            </w:pPr>
            <w:r>
              <w:rPr>
                <w:sz w:val="21"/>
              </w:rPr>
              <w:t>重 点 部 位 名 称</w:t>
            </w:r>
          </w:p>
        </w:tc>
        <w:tc>
          <w:tcPr>
            <w:tcW w:w="2023" w:type="dxa"/>
          </w:tcPr>
          <w:p>
            <w:pPr>
              <w:pStyle w:val="TableParagraph"/>
              <w:spacing w:before="80"/>
              <w:ind w:left="680" w:right="667"/>
              <w:jc w:val="center"/>
              <w:rPr>
                <w:sz w:val="21"/>
              </w:rPr>
            </w:pPr>
            <w:r>
              <w:rPr>
                <w:sz w:val="21"/>
              </w:rPr>
              <w:t>责任人</w:t>
            </w:r>
          </w:p>
        </w:tc>
        <w:tc>
          <w:tcPr>
            <w:tcW w:w="1932" w:type="dxa"/>
          </w:tcPr>
          <w:p>
            <w:pPr>
              <w:pStyle w:val="TableParagraph"/>
              <w:spacing w:before="80"/>
              <w:ind w:left="548"/>
              <w:rPr>
                <w:sz w:val="21"/>
              </w:rPr>
            </w:pPr>
            <w:r>
              <w:rPr>
                <w:sz w:val="21"/>
              </w:rPr>
              <w:t>联系电话</w:t>
            </w:r>
          </w:p>
        </w:tc>
      </w:tr>
      <w:tr>
        <w:trPr>
          <w:trHeight w:val="434"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1"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4"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1"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4"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1"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4"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2"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4"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1"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4"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r>
        <w:trPr>
          <w:trHeight w:val="432" w:hRule="atLeast"/>
        </w:trPr>
        <w:tc>
          <w:tcPr>
            <w:tcW w:w="1212" w:type="dxa"/>
          </w:tcPr>
          <w:p>
            <w:pPr>
              <w:pStyle w:val="TableParagraph"/>
              <w:rPr>
                <w:rFonts w:ascii="Times New Roman"/>
                <w:sz w:val="24"/>
              </w:rPr>
            </w:pPr>
          </w:p>
        </w:tc>
        <w:tc>
          <w:tcPr>
            <w:tcW w:w="4640" w:type="dxa"/>
          </w:tcPr>
          <w:p>
            <w:pPr>
              <w:pStyle w:val="TableParagraph"/>
              <w:rPr>
                <w:rFonts w:ascii="Times New Roman"/>
                <w:sz w:val="24"/>
              </w:rPr>
            </w:pPr>
          </w:p>
        </w:tc>
        <w:tc>
          <w:tcPr>
            <w:tcW w:w="2023" w:type="dxa"/>
          </w:tcPr>
          <w:p>
            <w:pPr>
              <w:pStyle w:val="TableParagraph"/>
              <w:rPr>
                <w:rFonts w:ascii="Times New Roman"/>
                <w:sz w:val="24"/>
              </w:rPr>
            </w:pPr>
          </w:p>
        </w:tc>
        <w:tc>
          <w:tcPr>
            <w:tcW w:w="1932" w:type="dxa"/>
          </w:tcPr>
          <w:p>
            <w:pPr>
              <w:pStyle w:val="TableParagraph"/>
              <w:rPr>
                <w:rFonts w:ascii="Times New Roman"/>
                <w:sz w:val="24"/>
              </w:rPr>
            </w:pPr>
          </w:p>
        </w:tc>
      </w:tr>
    </w:tbl>
    <w:p>
      <w:pPr>
        <w:spacing w:after="0"/>
        <w:rPr>
          <w:rFonts w:ascii="Times New Roman"/>
          <w:sz w:val="24"/>
        </w:rPr>
        <w:sectPr>
          <w:pgSz w:w="11910" w:h="8400" w:orient="landscape"/>
          <w:pgMar w:header="0" w:footer="836" w:top="740" w:bottom="102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重点部位情况</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7"/>
        <w:gridCol w:w="6133"/>
      </w:tblGrid>
      <w:tr>
        <w:trPr>
          <w:trHeight w:val="481" w:hRule="atLeast"/>
        </w:trPr>
        <w:tc>
          <w:tcPr>
            <w:tcW w:w="3767" w:type="dxa"/>
          </w:tcPr>
          <w:p>
            <w:pPr>
              <w:pStyle w:val="TableParagraph"/>
              <w:spacing w:before="101"/>
              <w:ind w:left="110"/>
              <w:rPr>
                <w:sz w:val="21"/>
              </w:rPr>
            </w:pPr>
            <w:r>
              <w:rPr>
                <w:sz w:val="21"/>
              </w:rPr>
              <w:t>消防重点部位名称</w:t>
            </w:r>
          </w:p>
        </w:tc>
        <w:tc>
          <w:tcPr>
            <w:tcW w:w="6133" w:type="dxa"/>
          </w:tcPr>
          <w:p>
            <w:pPr>
              <w:pStyle w:val="TableParagraph"/>
              <w:rPr>
                <w:rFonts w:ascii="Times New Roman"/>
                <w:sz w:val="20"/>
              </w:rPr>
            </w:pPr>
          </w:p>
        </w:tc>
      </w:tr>
      <w:tr>
        <w:trPr>
          <w:trHeight w:val="482" w:hRule="atLeast"/>
        </w:trPr>
        <w:tc>
          <w:tcPr>
            <w:tcW w:w="3767" w:type="dxa"/>
          </w:tcPr>
          <w:p>
            <w:pPr>
              <w:pStyle w:val="TableParagraph"/>
              <w:spacing w:before="104"/>
              <w:ind w:left="110"/>
              <w:rPr>
                <w:sz w:val="21"/>
              </w:rPr>
            </w:pPr>
            <w:r>
              <w:rPr>
                <w:sz w:val="21"/>
              </w:rPr>
              <w:t>所在位置</w:t>
            </w:r>
          </w:p>
        </w:tc>
        <w:tc>
          <w:tcPr>
            <w:tcW w:w="6133" w:type="dxa"/>
          </w:tcPr>
          <w:p>
            <w:pPr>
              <w:pStyle w:val="TableParagraph"/>
              <w:rPr>
                <w:rFonts w:ascii="Times New Roman"/>
                <w:sz w:val="20"/>
              </w:rPr>
            </w:pPr>
          </w:p>
        </w:tc>
      </w:tr>
      <w:tr>
        <w:trPr>
          <w:trHeight w:val="484" w:hRule="atLeast"/>
        </w:trPr>
        <w:tc>
          <w:tcPr>
            <w:tcW w:w="3767" w:type="dxa"/>
          </w:tcPr>
          <w:p>
            <w:pPr>
              <w:pStyle w:val="TableParagraph"/>
              <w:spacing w:before="94"/>
              <w:ind w:left="110"/>
              <w:rPr>
                <w:sz w:val="21"/>
              </w:rPr>
            </w:pPr>
            <w:r>
              <w:rPr>
                <w:sz w:val="21"/>
              </w:rPr>
              <w:t>建筑面积(M</w:t>
            </w:r>
            <w:r>
              <w:rPr>
                <w:position w:val="11"/>
                <w:sz w:val="11"/>
              </w:rPr>
              <w:t>2</w:t>
            </w:r>
            <w:r>
              <w:rPr>
                <w:sz w:val="21"/>
              </w:rPr>
              <w:t>)</w:t>
            </w:r>
          </w:p>
        </w:tc>
        <w:tc>
          <w:tcPr>
            <w:tcW w:w="6133" w:type="dxa"/>
          </w:tcPr>
          <w:p>
            <w:pPr>
              <w:pStyle w:val="TableParagraph"/>
              <w:rPr>
                <w:rFonts w:ascii="Times New Roman"/>
                <w:sz w:val="20"/>
              </w:rPr>
            </w:pPr>
          </w:p>
        </w:tc>
      </w:tr>
      <w:tr>
        <w:trPr>
          <w:trHeight w:val="482" w:hRule="atLeast"/>
        </w:trPr>
        <w:tc>
          <w:tcPr>
            <w:tcW w:w="3767" w:type="dxa"/>
          </w:tcPr>
          <w:p>
            <w:pPr>
              <w:pStyle w:val="TableParagraph"/>
              <w:spacing w:before="104"/>
              <w:ind w:left="110"/>
              <w:rPr>
                <w:sz w:val="21"/>
              </w:rPr>
            </w:pPr>
            <w:r>
              <w:rPr>
                <w:sz w:val="21"/>
              </w:rPr>
              <w:t>耐火等级</w:t>
            </w:r>
          </w:p>
        </w:tc>
        <w:tc>
          <w:tcPr>
            <w:tcW w:w="6133" w:type="dxa"/>
          </w:tcPr>
          <w:p>
            <w:pPr>
              <w:pStyle w:val="TableParagraph"/>
              <w:rPr>
                <w:rFonts w:ascii="Times New Roman"/>
                <w:sz w:val="20"/>
              </w:rPr>
            </w:pPr>
          </w:p>
        </w:tc>
      </w:tr>
      <w:tr>
        <w:trPr>
          <w:trHeight w:val="484" w:hRule="atLeast"/>
        </w:trPr>
        <w:tc>
          <w:tcPr>
            <w:tcW w:w="3767" w:type="dxa"/>
          </w:tcPr>
          <w:p>
            <w:pPr>
              <w:pStyle w:val="TableParagraph"/>
              <w:spacing w:before="104"/>
              <w:ind w:left="110"/>
              <w:rPr>
                <w:sz w:val="21"/>
              </w:rPr>
            </w:pPr>
            <w:r>
              <w:rPr>
                <w:sz w:val="21"/>
              </w:rPr>
              <w:t>确立消防安全重点部位的原因</w:t>
            </w:r>
          </w:p>
        </w:tc>
        <w:tc>
          <w:tcPr>
            <w:tcW w:w="6133" w:type="dxa"/>
          </w:tcPr>
          <w:p>
            <w:pPr>
              <w:pStyle w:val="TableParagraph"/>
              <w:rPr>
                <w:rFonts w:ascii="Times New Roman"/>
                <w:sz w:val="20"/>
              </w:rPr>
            </w:pPr>
          </w:p>
        </w:tc>
      </w:tr>
      <w:tr>
        <w:trPr>
          <w:trHeight w:val="481" w:hRule="atLeast"/>
        </w:trPr>
        <w:tc>
          <w:tcPr>
            <w:tcW w:w="3767" w:type="dxa"/>
          </w:tcPr>
          <w:p>
            <w:pPr>
              <w:pStyle w:val="TableParagraph"/>
              <w:spacing w:before="101"/>
              <w:ind w:left="110"/>
              <w:rPr>
                <w:sz w:val="21"/>
              </w:rPr>
            </w:pPr>
            <w:r>
              <w:rPr>
                <w:sz w:val="21"/>
              </w:rPr>
              <w:t>防火标志的设立情况</w:t>
            </w:r>
          </w:p>
        </w:tc>
        <w:tc>
          <w:tcPr>
            <w:tcW w:w="6133" w:type="dxa"/>
          </w:tcPr>
          <w:p>
            <w:pPr>
              <w:pStyle w:val="TableParagraph"/>
              <w:rPr>
                <w:rFonts w:ascii="Times New Roman"/>
                <w:sz w:val="20"/>
              </w:rPr>
            </w:pPr>
          </w:p>
        </w:tc>
      </w:tr>
      <w:tr>
        <w:trPr>
          <w:trHeight w:val="481" w:hRule="atLeast"/>
        </w:trPr>
        <w:tc>
          <w:tcPr>
            <w:tcW w:w="3767" w:type="dxa"/>
          </w:tcPr>
          <w:p>
            <w:pPr>
              <w:pStyle w:val="TableParagraph"/>
              <w:spacing w:before="104"/>
              <w:ind w:left="110"/>
              <w:rPr>
                <w:sz w:val="21"/>
              </w:rPr>
            </w:pPr>
            <w:r>
              <w:rPr>
                <w:sz w:val="21"/>
              </w:rPr>
              <w:t>危险源情况</w:t>
            </w:r>
          </w:p>
        </w:tc>
        <w:tc>
          <w:tcPr>
            <w:tcW w:w="6133" w:type="dxa"/>
          </w:tcPr>
          <w:p>
            <w:pPr>
              <w:pStyle w:val="TableParagraph"/>
              <w:rPr>
                <w:rFonts w:ascii="Times New Roman"/>
                <w:sz w:val="20"/>
              </w:rPr>
            </w:pPr>
          </w:p>
        </w:tc>
      </w:tr>
      <w:tr>
        <w:trPr>
          <w:trHeight w:val="485" w:hRule="atLeast"/>
        </w:trPr>
        <w:tc>
          <w:tcPr>
            <w:tcW w:w="3767" w:type="dxa"/>
          </w:tcPr>
          <w:p>
            <w:pPr>
              <w:pStyle w:val="TableParagraph"/>
              <w:spacing w:before="104"/>
              <w:ind w:left="110"/>
              <w:rPr>
                <w:sz w:val="21"/>
              </w:rPr>
            </w:pPr>
            <w:r>
              <w:rPr>
                <w:sz w:val="21"/>
              </w:rPr>
              <w:t>火种情况</w:t>
            </w:r>
          </w:p>
        </w:tc>
        <w:tc>
          <w:tcPr>
            <w:tcW w:w="6133" w:type="dxa"/>
          </w:tcPr>
          <w:p>
            <w:pPr>
              <w:pStyle w:val="TableParagraph"/>
              <w:rPr>
                <w:rFonts w:ascii="Times New Roman"/>
                <w:sz w:val="20"/>
              </w:rPr>
            </w:pPr>
          </w:p>
        </w:tc>
      </w:tr>
      <w:tr>
        <w:trPr>
          <w:trHeight w:val="482" w:hRule="atLeast"/>
        </w:trPr>
        <w:tc>
          <w:tcPr>
            <w:tcW w:w="3767" w:type="dxa"/>
          </w:tcPr>
          <w:p>
            <w:pPr>
              <w:pStyle w:val="TableParagraph"/>
              <w:spacing w:before="104"/>
              <w:ind w:left="110"/>
              <w:rPr>
                <w:sz w:val="21"/>
              </w:rPr>
            </w:pPr>
            <w:r>
              <w:rPr>
                <w:sz w:val="21"/>
              </w:rPr>
              <w:t>责任人</w:t>
            </w:r>
          </w:p>
        </w:tc>
        <w:tc>
          <w:tcPr>
            <w:tcW w:w="6133" w:type="dxa"/>
          </w:tcPr>
          <w:p>
            <w:pPr>
              <w:pStyle w:val="TableParagraph"/>
              <w:rPr>
                <w:rFonts w:ascii="Times New Roman"/>
                <w:sz w:val="20"/>
              </w:rPr>
            </w:pPr>
          </w:p>
        </w:tc>
      </w:tr>
      <w:tr>
        <w:trPr>
          <w:trHeight w:val="1032" w:hRule="atLeast"/>
        </w:trPr>
        <w:tc>
          <w:tcPr>
            <w:tcW w:w="3767" w:type="dxa"/>
          </w:tcPr>
          <w:p>
            <w:pPr>
              <w:pStyle w:val="TableParagraph"/>
              <w:spacing w:before="6"/>
              <w:rPr>
                <w:rFonts w:ascii="黑体"/>
                <w:sz w:val="29"/>
              </w:rPr>
            </w:pPr>
          </w:p>
          <w:p>
            <w:pPr>
              <w:pStyle w:val="TableParagraph"/>
              <w:ind w:left="110"/>
              <w:rPr>
                <w:sz w:val="21"/>
              </w:rPr>
            </w:pPr>
            <w:r>
              <w:rPr>
                <w:sz w:val="21"/>
              </w:rPr>
              <w:t>消防安全管理措施</w:t>
            </w:r>
          </w:p>
        </w:tc>
        <w:tc>
          <w:tcPr>
            <w:tcW w:w="6133" w:type="dxa"/>
          </w:tcPr>
          <w:p>
            <w:pPr>
              <w:pStyle w:val="TableParagraph"/>
              <w:rPr>
                <w:rFonts w:ascii="Times New Roman"/>
                <w:sz w:val="20"/>
              </w:rPr>
            </w:pPr>
          </w:p>
        </w:tc>
      </w:tr>
    </w:tbl>
    <w:p>
      <w:pPr>
        <w:spacing w:after="0"/>
        <w:rPr>
          <w:rFonts w:ascii="Times New Roman"/>
          <w:sz w:val="20"/>
        </w:rPr>
        <w:sectPr>
          <w:pgSz w:w="11910" w:h="8400" w:orient="landscape"/>
          <w:pgMar w:header="0" w:footer="877" w:top="740" w:bottom="106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重点工种人员情况</w:t>
      </w:r>
    </w:p>
    <w:tbl>
      <w:tblPr>
        <w:tblW w:w="0" w:type="auto"/>
        <w:jc w:val="left"/>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67"/>
        <w:gridCol w:w="564"/>
        <w:gridCol w:w="744"/>
        <w:gridCol w:w="2005"/>
        <w:gridCol w:w="864"/>
        <w:gridCol w:w="1004"/>
        <w:gridCol w:w="984"/>
        <w:gridCol w:w="826"/>
        <w:gridCol w:w="795"/>
        <w:gridCol w:w="1277"/>
      </w:tblGrid>
      <w:tr>
        <w:trPr>
          <w:trHeight w:val="719" w:hRule="atLeast"/>
        </w:trPr>
        <w:tc>
          <w:tcPr>
            <w:tcW w:w="867" w:type="dxa"/>
          </w:tcPr>
          <w:p>
            <w:pPr>
              <w:pStyle w:val="TableParagraph"/>
              <w:spacing w:before="4"/>
              <w:rPr>
                <w:rFonts w:ascii="黑体"/>
                <w:sz w:val="17"/>
              </w:rPr>
            </w:pPr>
          </w:p>
          <w:p>
            <w:pPr>
              <w:pStyle w:val="TableParagraph"/>
              <w:ind w:left="223"/>
              <w:rPr>
                <w:sz w:val="21"/>
              </w:rPr>
            </w:pPr>
            <w:r>
              <w:rPr>
                <w:sz w:val="21"/>
              </w:rPr>
              <w:t>姓名</w:t>
            </w:r>
          </w:p>
        </w:tc>
        <w:tc>
          <w:tcPr>
            <w:tcW w:w="564" w:type="dxa"/>
          </w:tcPr>
          <w:p>
            <w:pPr>
              <w:pStyle w:val="TableParagraph"/>
              <w:spacing w:line="213" w:lineRule="auto" w:before="125"/>
              <w:ind w:left="174" w:right="170"/>
              <w:rPr>
                <w:sz w:val="21"/>
              </w:rPr>
            </w:pPr>
            <w:r>
              <w:rPr>
                <w:sz w:val="21"/>
              </w:rPr>
              <w:t>性别</w:t>
            </w:r>
          </w:p>
        </w:tc>
        <w:tc>
          <w:tcPr>
            <w:tcW w:w="744" w:type="dxa"/>
          </w:tcPr>
          <w:p>
            <w:pPr>
              <w:pStyle w:val="TableParagraph"/>
              <w:spacing w:before="4"/>
              <w:rPr>
                <w:rFonts w:ascii="黑体"/>
                <w:sz w:val="17"/>
              </w:rPr>
            </w:pPr>
          </w:p>
          <w:p>
            <w:pPr>
              <w:pStyle w:val="TableParagraph"/>
              <w:ind w:left="160"/>
              <w:rPr>
                <w:sz w:val="21"/>
              </w:rPr>
            </w:pPr>
            <w:r>
              <w:rPr>
                <w:sz w:val="21"/>
              </w:rPr>
              <w:t>年龄</w:t>
            </w:r>
          </w:p>
        </w:tc>
        <w:tc>
          <w:tcPr>
            <w:tcW w:w="2005" w:type="dxa"/>
          </w:tcPr>
          <w:p>
            <w:pPr>
              <w:pStyle w:val="TableParagraph"/>
              <w:spacing w:before="4"/>
              <w:rPr>
                <w:rFonts w:ascii="黑体"/>
                <w:sz w:val="17"/>
              </w:rPr>
            </w:pPr>
          </w:p>
          <w:p>
            <w:pPr>
              <w:pStyle w:val="TableParagraph"/>
              <w:ind w:left="580"/>
              <w:rPr>
                <w:sz w:val="21"/>
              </w:rPr>
            </w:pPr>
            <w:r>
              <w:rPr>
                <w:sz w:val="21"/>
              </w:rPr>
              <w:t>身份证号</w:t>
            </w:r>
          </w:p>
        </w:tc>
        <w:tc>
          <w:tcPr>
            <w:tcW w:w="864" w:type="dxa"/>
          </w:tcPr>
          <w:p>
            <w:pPr>
              <w:pStyle w:val="TableParagraph"/>
              <w:spacing w:line="213" w:lineRule="auto" w:before="125"/>
              <w:ind w:left="325" w:right="108" w:hanging="212"/>
              <w:rPr>
                <w:sz w:val="21"/>
              </w:rPr>
            </w:pPr>
            <w:r>
              <w:rPr>
                <w:sz w:val="21"/>
              </w:rPr>
              <w:t>所在部门</w:t>
            </w:r>
          </w:p>
        </w:tc>
        <w:tc>
          <w:tcPr>
            <w:tcW w:w="1004" w:type="dxa"/>
          </w:tcPr>
          <w:p>
            <w:pPr>
              <w:pStyle w:val="TableParagraph"/>
              <w:spacing w:line="213" w:lineRule="auto" w:before="125"/>
              <w:ind w:left="292" w:right="176" w:hanging="106"/>
              <w:rPr>
                <w:sz w:val="21"/>
              </w:rPr>
            </w:pPr>
            <w:r>
              <w:rPr>
                <w:sz w:val="21"/>
              </w:rPr>
              <w:t>所从事工种</w:t>
            </w:r>
          </w:p>
        </w:tc>
        <w:tc>
          <w:tcPr>
            <w:tcW w:w="984" w:type="dxa"/>
          </w:tcPr>
          <w:p>
            <w:pPr>
              <w:pStyle w:val="TableParagraph"/>
              <w:spacing w:line="240" w:lineRule="exact"/>
              <w:ind w:left="176" w:right="166"/>
              <w:jc w:val="both"/>
              <w:rPr>
                <w:sz w:val="21"/>
              </w:rPr>
            </w:pPr>
            <w:r>
              <w:rPr>
                <w:sz w:val="21"/>
              </w:rPr>
              <w:t>是否受过消防培训</w:t>
            </w:r>
          </w:p>
        </w:tc>
        <w:tc>
          <w:tcPr>
            <w:tcW w:w="826" w:type="dxa"/>
          </w:tcPr>
          <w:p>
            <w:pPr>
              <w:pStyle w:val="TableParagraph"/>
              <w:spacing w:line="240" w:lineRule="exact"/>
              <w:ind w:left="202" w:right="193"/>
              <w:jc w:val="both"/>
              <w:rPr>
                <w:sz w:val="21"/>
              </w:rPr>
            </w:pPr>
            <w:r>
              <w:rPr>
                <w:sz w:val="21"/>
              </w:rPr>
              <w:t>参加培训时间</w:t>
            </w:r>
          </w:p>
        </w:tc>
        <w:tc>
          <w:tcPr>
            <w:tcW w:w="795" w:type="dxa"/>
          </w:tcPr>
          <w:p>
            <w:pPr>
              <w:pStyle w:val="TableParagraph"/>
              <w:spacing w:line="213" w:lineRule="auto" w:before="125"/>
              <w:ind w:left="185" w:right="179"/>
              <w:rPr>
                <w:sz w:val="21"/>
              </w:rPr>
            </w:pPr>
            <w:r>
              <w:rPr>
                <w:sz w:val="21"/>
              </w:rPr>
              <w:t>领证时间</w:t>
            </w:r>
          </w:p>
        </w:tc>
        <w:tc>
          <w:tcPr>
            <w:tcW w:w="1277" w:type="dxa"/>
          </w:tcPr>
          <w:p>
            <w:pPr>
              <w:pStyle w:val="TableParagraph"/>
              <w:spacing w:before="4"/>
              <w:rPr>
                <w:rFonts w:ascii="黑体"/>
                <w:sz w:val="17"/>
              </w:rPr>
            </w:pPr>
          </w:p>
          <w:p>
            <w:pPr>
              <w:pStyle w:val="TableParagraph"/>
              <w:ind w:left="428"/>
              <w:rPr>
                <w:sz w:val="21"/>
              </w:rPr>
            </w:pPr>
            <w:r>
              <w:rPr>
                <w:sz w:val="21"/>
              </w:rPr>
              <w:t>证号</w:t>
            </w:r>
          </w:p>
        </w:tc>
      </w:tr>
      <w:tr>
        <w:trPr>
          <w:trHeight w:val="408"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407"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410"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405" w:hRule="atLeast"/>
        </w:trPr>
        <w:tc>
          <w:tcPr>
            <w:tcW w:w="867" w:type="dxa"/>
            <w:tcBorders>
              <w:bottom w:val="single" w:sz="4" w:space="0" w:color="000000"/>
            </w:tcBorders>
          </w:tcPr>
          <w:p>
            <w:pPr>
              <w:pStyle w:val="TableParagraph"/>
              <w:rPr>
                <w:rFonts w:ascii="Times New Roman"/>
                <w:sz w:val="22"/>
              </w:rPr>
            </w:pPr>
          </w:p>
        </w:tc>
        <w:tc>
          <w:tcPr>
            <w:tcW w:w="564" w:type="dxa"/>
            <w:tcBorders>
              <w:bottom w:val="single" w:sz="4" w:space="0" w:color="000000"/>
            </w:tcBorders>
          </w:tcPr>
          <w:p>
            <w:pPr>
              <w:pStyle w:val="TableParagraph"/>
              <w:rPr>
                <w:rFonts w:ascii="Times New Roman"/>
                <w:sz w:val="22"/>
              </w:rPr>
            </w:pPr>
          </w:p>
        </w:tc>
        <w:tc>
          <w:tcPr>
            <w:tcW w:w="744" w:type="dxa"/>
            <w:tcBorders>
              <w:bottom w:val="single" w:sz="4" w:space="0" w:color="000000"/>
            </w:tcBorders>
          </w:tcPr>
          <w:p>
            <w:pPr>
              <w:pStyle w:val="TableParagraph"/>
              <w:rPr>
                <w:rFonts w:ascii="Times New Roman"/>
                <w:sz w:val="22"/>
              </w:rPr>
            </w:pPr>
          </w:p>
        </w:tc>
        <w:tc>
          <w:tcPr>
            <w:tcW w:w="2005" w:type="dxa"/>
            <w:tcBorders>
              <w:bottom w:val="single" w:sz="4" w:space="0" w:color="000000"/>
            </w:tcBorders>
          </w:tcPr>
          <w:p>
            <w:pPr>
              <w:pStyle w:val="TableParagraph"/>
              <w:rPr>
                <w:rFonts w:ascii="Times New Roman"/>
                <w:sz w:val="22"/>
              </w:rPr>
            </w:pPr>
          </w:p>
        </w:tc>
        <w:tc>
          <w:tcPr>
            <w:tcW w:w="864" w:type="dxa"/>
            <w:tcBorders>
              <w:bottom w:val="single" w:sz="4" w:space="0" w:color="000000"/>
            </w:tcBorders>
          </w:tcPr>
          <w:p>
            <w:pPr>
              <w:pStyle w:val="TableParagraph"/>
              <w:rPr>
                <w:rFonts w:ascii="Times New Roman"/>
                <w:sz w:val="22"/>
              </w:rPr>
            </w:pPr>
          </w:p>
        </w:tc>
        <w:tc>
          <w:tcPr>
            <w:tcW w:w="1004" w:type="dxa"/>
            <w:tcBorders>
              <w:bottom w:val="single" w:sz="4" w:space="0" w:color="000000"/>
            </w:tcBorders>
          </w:tcPr>
          <w:p>
            <w:pPr>
              <w:pStyle w:val="TableParagraph"/>
              <w:rPr>
                <w:rFonts w:ascii="Times New Roman"/>
                <w:sz w:val="22"/>
              </w:rPr>
            </w:pPr>
          </w:p>
        </w:tc>
        <w:tc>
          <w:tcPr>
            <w:tcW w:w="984" w:type="dxa"/>
            <w:tcBorders>
              <w:bottom w:val="single" w:sz="4" w:space="0" w:color="000000"/>
            </w:tcBorders>
          </w:tcPr>
          <w:p>
            <w:pPr>
              <w:pStyle w:val="TableParagraph"/>
              <w:rPr>
                <w:rFonts w:ascii="Times New Roman"/>
                <w:sz w:val="22"/>
              </w:rPr>
            </w:pPr>
          </w:p>
        </w:tc>
        <w:tc>
          <w:tcPr>
            <w:tcW w:w="826" w:type="dxa"/>
            <w:tcBorders>
              <w:bottom w:val="single" w:sz="4" w:space="0" w:color="000000"/>
            </w:tcBorders>
          </w:tcPr>
          <w:p>
            <w:pPr>
              <w:pStyle w:val="TableParagraph"/>
              <w:rPr>
                <w:rFonts w:ascii="Times New Roman"/>
                <w:sz w:val="22"/>
              </w:rPr>
            </w:pPr>
          </w:p>
        </w:tc>
        <w:tc>
          <w:tcPr>
            <w:tcW w:w="795" w:type="dxa"/>
            <w:tcBorders>
              <w:bottom w:val="single" w:sz="4" w:space="0" w:color="000000"/>
            </w:tcBorders>
          </w:tcPr>
          <w:p>
            <w:pPr>
              <w:pStyle w:val="TableParagraph"/>
              <w:rPr>
                <w:rFonts w:ascii="Times New Roman"/>
                <w:sz w:val="22"/>
              </w:rPr>
            </w:pPr>
          </w:p>
        </w:tc>
        <w:tc>
          <w:tcPr>
            <w:tcW w:w="1277" w:type="dxa"/>
            <w:tcBorders>
              <w:bottom w:val="single" w:sz="4" w:space="0" w:color="000000"/>
            </w:tcBorders>
          </w:tcPr>
          <w:p>
            <w:pPr>
              <w:pStyle w:val="TableParagraph"/>
              <w:rPr>
                <w:rFonts w:ascii="Times New Roman"/>
                <w:sz w:val="22"/>
              </w:rPr>
            </w:pPr>
          </w:p>
        </w:tc>
      </w:tr>
      <w:tr>
        <w:trPr>
          <w:trHeight w:val="405" w:hRule="atLeast"/>
        </w:trPr>
        <w:tc>
          <w:tcPr>
            <w:tcW w:w="867" w:type="dxa"/>
            <w:tcBorders>
              <w:top w:val="single" w:sz="4" w:space="0" w:color="000000"/>
            </w:tcBorders>
          </w:tcPr>
          <w:p>
            <w:pPr>
              <w:pStyle w:val="TableParagraph"/>
              <w:rPr>
                <w:rFonts w:ascii="Times New Roman"/>
                <w:sz w:val="22"/>
              </w:rPr>
            </w:pPr>
          </w:p>
        </w:tc>
        <w:tc>
          <w:tcPr>
            <w:tcW w:w="564" w:type="dxa"/>
            <w:tcBorders>
              <w:top w:val="single" w:sz="4" w:space="0" w:color="000000"/>
            </w:tcBorders>
          </w:tcPr>
          <w:p>
            <w:pPr>
              <w:pStyle w:val="TableParagraph"/>
              <w:rPr>
                <w:rFonts w:ascii="Times New Roman"/>
                <w:sz w:val="22"/>
              </w:rPr>
            </w:pPr>
          </w:p>
        </w:tc>
        <w:tc>
          <w:tcPr>
            <w:tcW w:w="744" w:type="dxa"/>
            <w:tcBorders>
              <w:top w:val="single" w:sz="4" w:space="0" w:color="000000"/>
            </w:tcBorders>
          </w:tcPr>
          <w:p>
            <w:pPr>
              <w:pStyle w:val="TableParagraph"/>
              <w:rPr>
                <w:rFonts w:ascii="Times New Roman"/>
                <w:sz w:val="22"/>
              </w:rPr>
            </w:pPr>
          </w:p>
        </w:tc>
        <w:tc>
          <w:tcPr>
            <w:tcW w:w="2005" w:type="dxa"/>
            <w:tcBorders>
              <w:top w:val="single" w:sz="4" w:space="0" w:color="000000"/>
            </w:tcBorders>
          </w:tcPr>
          <w:p>
            <w:pPr>
              <w:pStyle w:val="TableParagraph"/>
              <w:rPr>
                <w:rFonts w:ascii="Times New Roman"/>
                <w:sz w:val="22"/>
              </w:rPr>
            </w:pPr>
          </w:p>
        </w:tc>
        <w:tc>
          <w:tcPr>
            <w:tcW w:w="864" w:type="dxa"/>
            <w:tcBorders>
              <w:top w:val="single" w:sz="4" w:space="0" w:color="000000"/>
            </w:tcBorders>
          </w:tcPr>
          <w:p>
            <w:pPr>
              <w:pStyle w:val="TableParagraph"/>
              <w:rPr>
                <w:rFonts w:ascii="Times New Roman"/>
                <w:sz w:val="22"/>
              </w:rPr>
            </w:pPr>
          </w:p>
        </w:tc>
        <w:tc>
          <w:tcPr>
            <w:tcW w:w="1004" w:type="dxa"/>
            <w:tcBorders>
              <w:top w:val="single" w:sz="4" w:space="0" w:color="000000"/>
            </w:tcBorders>
          </w:tcPr>
          <w:p>
            <w:pPr>
              <w:pStyle w:val="TableParagraph"/>
              <w:rPr>
                <w:rFonts w:ascii="Times New Roman"/>
                <w:sz w:val="22"/>
              </w:rPr>
            </w:pPr>
          </w:p>
        </w:tc>
        <w:tc>
          <w:tcPr>
            <w:tcW w:w="984" w:type="dxa"/>
            <w:tcBorders>
              <w:top w:val="single" w:sz="4" w:space="0" w:color="000000"/>
            </w:tcBorders>
          </w:tcPr>
          <w:p>
            <w:pPr>
              <w:pStyle w:val="TableParagraph"/>
              <w:rPr>
                <w:rFonts w:ascii="Times New Roman"/>
                <w:sz w:val="22"/>
              </w:rPr>
            </w:pPr>
          </w:p>
        </w:tc>
        <w:tc>
          <w:tcPr>
            <w:tcW w:w="826" w:type="dxa"/>
            <w:tcBorders>
              <w:top w:val="single" w:sz="4" w:space="0" w:color="000000"/>
            </w:tcBorders>
          </w:tcPr>
          <w:p>
            <w:pPr>
              <w:pStyle w:val="TableParagraph"/>
              <w:rPr>
                <w:rFonts w:ascii="Times New Roman"/>
                <w:sz w:val="22"/>
              </w:rPr>
            </w:pPr>
          </w:p>
        </w:tc>
        <w:tc>
          <w:tcPr>
            <w:tcW w:w="795" w:type="dxa"/>
            <w:tcBorders>
              <w:top w:val="single" w:sz="4" w:space="0" w:color="000000"/>
            </w:tcBorders>
          </w:tcPr>
          <w:p>
            <w:pPr>
              <w:pStyle w:val="TableParagraph"/>
              <w:rPr>
                <w:rFonts w:ascii="Times New Roman"/>
                <w:sz w:val="22"/>
              </w:rPr>
            </w:pPr>
          </w:p>
        </w:tc>
        <w:tc>
          <w:tcPr>
            <w:tcW w:w="1277" w:type="dxa"/>
            <w:tcBorders>
              <w:top w:val="single" w:sz="4" w:space="0" w:color="000000"/>
            </w:tcBorders>
          </w:tcPr>
          <w:p>
            <w:pPr>
              <w:pStyle w:val="TableParagraph"/>
              <w:rPr>
                <w:rFonts w:ascii="Times New Roman"/>
                <w:sz w:val="22"/>
              </w:rPr>
            </w:pPr>
          </w:p>
        </w:tc>
      </w:tr>
      <w:tr>
        <w:trPr>
          <w:trHeight w:val="407"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556"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554"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554"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r>
        <w:trPr>
          <w:trHeight w:val="557" w:hRule="atLeast"/>
        </w:trPr>
        <w:tc>
          <w:tcPr>
            <w:tcW w:w="867" w:type="dxa"/>
          </w:tcPr>
          <w:p>
            <w:pPr>
              <w:pStyle w:val="TableParagraph"/>
              <w:rPr>
                <w:rFonts w:ascii="Times New Roman"/>
                <w:sz w:val="22"/>
              </w:rPr>
            </w:pPr>
          </w:p>
        </w:tc>
        <w:tc>
          <w:tcPr>
            <w:tcW w:w="564" w:type="dxa"/>
          </w:tcPr>
          <w:p>
            <w:pPr>
              <w:pStyle w:val="TableParagraph"/>
              <w:rPr>
                <w:rFonts w:ascii="Times New Roman"/>
                <w:sz w:val="22"/>
              </w:rPr>
            </w:pPr>
          </w:p>
        </w:tc>
        <w:tc>
          <w:tcPr>
            <w:tcW w:w="744" w:type="dxa"/>
          </w:tcPr>
          <w:p>
            <w:pPr>
              <w:pStyle w:val="TableParagraph"/>
              <w:rPr>
                <w:rFonts w:ascii="Times New Roman"/>
                <w:sz w:val="22"/>
              </w:rPr>
            </w:pPr>
          </w:p>
        </w:tc>
        <w:tc>
          <w:tcPr>
            <w:tcW w:w="2005" w:type="dxa"/>
          </w:tcPr>
          <w:p>
            <w:pPr>
              <w:pStyle w:val="TableParagraph"/>
              <w:rPr>
                <w:rFonts w:ascii="Times New Roman"/>
                <w:sz w:val="22"/>
              </w:rPr>
            </w:pPr>
          </w:p>
        </w:tc>
        <w:tc>
          <w:tcPr>
            <w:tcW w:w="864" w:type="dxa"/>
          </w:tcPr>
          <w:p>
            <w:pPr>
              <w:pStyle w:val="TableParagraph"/>
              <w:rPr>
                <w:rFonts w:ascii="Times New Roman"/>
                <w:sz w:val="22"/>
              </w:rPr>
            </w:pPr>
          </w:p>
        </w:tc>
        <w:tc>
          <w:tcPr>
            <w:tcW w:w="1004" w:type="dxa"/>
          </w:tcPr>
          <w:p>
            <w:pPr>
              <w:pStyle w:val="TableParagraph"/>
              <w:rPr>
                <w:rFonts w:ascii="Times New Roman"/>
                <w:sz w:val="22"/>
              </w:rPr>
            </w:pPr>
          </w:p>
        </w:tc>
        <w:tc>
          <w:tcPr>
            <w:tcW w:w="984" w:type="dxa"/>
          </w:tcPr>
          <w:p>
            <w:pPr>
              <w:pStyle w:val="TableParagraph"/>
              <w:rPr>
                <w:rFonts w:ascii="Times New Roman"/>
                <w:sz w:val="22"/>
              </w:rPr>
            </w:pPr>
          </w:p>
        </w:tc>
        <w:tc>
          <w:tcPr>
            <w:tcW w:w="826" w:type="dxa"/>
          </w:tcPr>
          <w:p>
            <w:pPr>
              <w:pStyle w:val="TableParagraph"/>
              <w:rPr>
                <w:rFonts w:ascii="Times New Roman"/>
                <w:sz w:val="22"/>
              </w:rPr>
            </w:pPr>
          </w:p>
        </w:tc>
        <w:tc>
          <w:tcPr>
            <w:tcW w:w="795" w:type="dxa"/>
          </w:tcPr>
          <w:p>
            <w:pPr>
              <w:pStyle w:val="TableParagraph"/>
              <w:rPr>
                <w:rFonts w:ascii="Times New Roman"/>
                <w:sz w:val="22"/>
              </w:rPr>
            </w:pPr>
          </w:p>
        </w:tc>
        <w:tc>
          <w:tcPr>
            <w:tcW w:w="1277" w:type="dxa"/>
          </w:tcPr>
          <w:p>
            <w:pPr>
              <w:pStyle w:val="TableParagraph"/>
              <w:rPr>
                <w:rFonts w:ascii="Times New Roman"/>
                <w:sz w:val="22"/>
              </w:rPr>
            </w:pPr>
          </w:p>
        </w:tc>
      </w:tr>
    </w:tbl>
    <w:p>
      <w:pPr>
        <w:spacing w:after="0"/>
        <w:rPr>
          <w:rFonts w:ascii="Times New Roman"/>
          <w:sz w:val="22"/>
        </w:rPr>
        <w:sectPr>
          <w:pgSz w:w="11910" w:h="8400" w:orient="landscape"/>
          <w:pgMar w:header="0" w:footer="836" w:top="740" w:bottom="1020" w:left="880" w:right="880"/>
        </w:sectPr>
      </w:pPr>
    </w:p>
    <w:p>
      <w:pPr>
        <w:pStyle w:val="BodyText"/>
        <w:spacing w:before="4"/>
        <w:ind w:left="0"/>
        <w:rPr>
          <w:rFonts w:ascii="黑体"/>
          <w:sz w:val="16"/>
        </w:rPr>
      </w:pPr>
    </w:p>
    <w:p>
      <w:pPr>
        <w:spacing w:before="58" w:after="7"/>
        <w:ind w:left="3255" w:right="3255" w:firstLine="0"/>
        <w:jc w:val="center"/>
        <w:rPr>
          <w:rFonts w:ascii="黑体" w:eastAsia="黑体" w:hint="eastAsia"/>
          <w:sz w:val="30"/>
        </w:rPr>
      </w:pPr>
      <w:r>
        <w:rPr>
          <w:rFonts w:ascii="黑体" w:eastAsia="黑体" w:hint="eastAsia"/>
          <w:sz w:val="30"/>
        </w:rPr>
        <w:t>专职(志愿)消防队队员名单</w:t>
      </w:r>
    </w:p>
    <w:tbl>
      <w:tblPr>
        <w:tblW w:w="0" w:type="auto"/>
        <w:jc w:val="left"/>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3"/>
        <w:gridCol w:w="864"/>
        <w:gridCol w:w="850"/>
        <w:gridCol w:w="1274"/>
        <w:gridCol w:w="3348"/>
        <w:gridCol w:w="1671"/>
      </w:tblGrid>
      <w:tr>
        <w:trPr>
          <w:trHeight w:val="541" w:hRule="atLeast"/>
        </w:trPr>
        <w:tc>
          <w:tcPr>
            <w:tcW w:w="1803" w:type="dxa"/>
          </w:tcPr>
          <w:p>
            <w:pPr>
              <w:pStyle w:val="TableParagraph"/>
              <w:rPr>
                <w:rFonts w:ascii="黑体"/>
                <w:sz w:val="15"/>
              </w:rPr>
            </w:pPr>
          </w:p>
          <w:p>
            <w:pPr>
              <w:pStyle w:val="TableParagraph"/>
              <w:tabs>
                <w:tab w:pos="1008" w:val="left" w:leader="none"/>
              </w:tabs>
              <w:spacing w:before="1"/>
              <w:ind w:left="585"/>
              <w:rPr>
                <w:sz w:val="21"/>
              </w:rPr>
            </w:pPr>
            <w:r>
              <w:rPr>
                <w:sz w:val="21"/>
              </w:rPr>
              <w:t>姓</w:t>
              <w:tab/>
              <w:t>名</w:t>
            </w:r>
          </w:p>
        </w:tc>
        <w:tc>
          <w:tcPr>
            <w:tcW w:w="864" w:type="dxa"/>
          </w:tcPr>
          <w:p>
            <w:pPr>
              <w:pStyle w:val="TableParagraph"/>
              <w:rPr>
                <w:rFonts w:ascii="黑体"/>
                <w:sz w:val="15"/>
              </w:rPr>
            </w:pPr>
          </w:p>
          <w:p>
            <w:pPr>
              <w:pStyle w:val="TableParagraph"/>
              <w:spacing w:before="1"/>
              <w:ind w:left="220"/>
              <w:rPr>
                <w:sz w:val="21"/>
              </w:rPr>
            </w:pPr>
            <w:r>
              <w:rPr>
                <w:sz w:val="21"/>
              </w:rPr>
              <w:t>性别</w:t>
            </w:r>
          </w:p>
        </w:tc>
        <w:tc>
          <w:tcPr>
            <w:tcW w:w="850" w:type="dxa"/>
          </w:tcPr>
          <w:p>
            <w:pPr>
              <w:pStyle w:val="TableParagraph"/>
              <w:rPr>
                <w:rFonts w:ascii="黑体"/>
                <w:sz w:val="15"/>
              </w:rPr>
            </w:pPr>
          </w:p>
          <w:p>
            <w:pPr>
              <w:pStyle w:val="TableParagraph"/>
              <w:spacing w:before="1"/>
              <w:ind w:left="213"/>
              <w:rPr>
                <w:sz w:val="21"/>
              </w:rPr>
            </w:pPr>
            <w:r>
              <w:rPr>
                <w:sz w:val="21"/>
              </w:rPr>
              <w:t>年龄</w:t>
            </w:r>
          </w:p>
        </w:tc>
        <w:tc>
          <w:tcPr>
            <w:tcW w:w="1274" w:type="dxa"/>
          </w:tcPr>
          <w:p>
            <w:pPr>
              <w:pStyle w:val="TableParagraph"/>
              <w:rPr>
                <w:rFonts w:ascii="黑体"/>
                <w:sz w:val="15"/>
              </w:rPr>
            </w:pPr>
          </w:p>
          <w:p>
            <w:pPr>
              <w:pStyle w:val="TableParagraph"/>
              <w:spacing w:before="1"/>
              <w:ind w:left="218"/>
              <w:rPr>
                <w:sz w:val="21"/>
              </w:rPr>
            </w:pPr>
            <w:r>
              <w:rPr>
                <w:sz w:val="21"/>
              </w:rPr>
              <w:t>文化程度</w:t>
            </w:r>
          </w:p>
        </w:tc>
        <w:tc>
          <w:tcPr>
            <w:tcW w:w="3348" w:type="dxa"/>
          </w:tcPr>
          <w:p>
            <w:pPr>
              <w:pStyle w:val="TableParagraph"/>
              <w:rPr>
                <w:rFonts w:ascii="黑体"/>
                <w:sz w:val="15"/>
              </w:rPr>
            </w:pPr>
          </w:p>
          <w:p>
            <w:pPr>
              <w:pStyle w:val="TableParagraph"/>
              <w:spacing w:before="1"/>
              <w:ind w:left="1237" w:right="1221"/>
              <w:jc w:val="center"/>
              <w:rPr>
                <w:sz w:val="21"/>
              </w:rPr>
            </w:pPr>
            <w:r>
              <w:rPr>
                <w:sz w:val="21"/>
              </w:rPr>
              <w:t>所属部门</w:t>
            </w:r>
          </w:p>
        </w:tc>
        <w:tc>
          <w:tcPr>
            <w:tcW w:w="1671" w:type="dxa"/>
          </w:tcPr>
          <w:p>
            <w:pPr>
              <w:pStyle w:val="TableParagraph"/>
              <w:rPr>
                <w:rFonts w:ascii="黑体"/>
                <w:sz w:val="15"/>
              </w:rPr>
            </w:pPr>
          </w:p>
          <w:p>
            <w:pPr>
              <w:pStyle w:val="TableParagraph"/>
              <w:spacing w:before="1"/>
              <w:ind w:left="416"/>
              <w:rPr>
                <w:sz w:val="21"/>
              </w:rPr>
            </w:pPr>
            <w:r>
              <w:rPr>
                <w:sz w:val="21"/>
              </w:rPr>
              <w:t>入队时间</w:t>
            </w:r>
          </w:p>
        </w:tc>
      </w:tr>
      <w:tr>
        <w:trPr>
          <w:trHeight w:val="545"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4"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4"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4"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4"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1"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5"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4"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r>
        <w:trPr>
          <w:trHeight w:val="544" w:hRule="atLeast"/>
        </w:trPr>
        <w:tc>
          <w:tcPr>
            <w:tcW w:w="1803" w:type="dxa"/>
          </w:tcPr>
          <w:p>
            <w:pPr>
              <w:pStyle w:val="TableParagraph"/>
              <w:rPr>
                <w:rFonts w:ascii="Times New Roman"/>
                <w:sz w:val="24"/>
              </w:rPr>
            </w:pPr>
          </w:p>
        </w:tc>
        <w:tc>
          <w:tcPr>
            <w:tcW w:w="864" w:type="dxa"/>
          </w:tcPr>
          <w:p>
            <w:pPr>
              <w:pStyle w:val="TableParagraph"/>
              <w:rPr>
                <w:rFonts w:ascii="Times New Roman"/>
                <w:sz w:val="24"/>
              </w:rPr>
            </w:pPr>
          </w:p>
        </w:tc>
        <w:tc>
          <w:tcPr>
            <w:tcW w:w="850" w:type="dxa"/>
          </w:tcPr>
          <w:p>
            <w:pPr>
              <w:pStyle w:val="TableParagraph"/>
              <w:rPr>
                <w:rFonts w:ascii="Times New Roman"/>
                <w:sz w:val="24"/>
              </w:rPr>
            </w:pPr>
          </w:p>
        </w:tc>
        <w:tc>
          <w:tcPr>
            <w:tcW w:w="1274" w:type="dxa"/>
          </w:tcPr>
          <w:p>
            <w:pPr>
              <w:pStyle w:val="TableParagraph"/>
              <w:rPr>
                <w:rFonts w:ascii="Times New Roman"/>
                <w:sz w:val="24"/>
              </w:rPr>
            </w:pPr>
          </w:p>
        </w:tc>
        <w:tc>
          <w:tcPr>
            <w:tcW w:w="3348" w:type="dxa"/>
          </w:tcPr>
          <w:p>
            <w:pPr>
              <w:pStyle w:val="TableParagraph"/>
              <w:rPr>
                <w:rFonts w:ascii="Times New Roman"/>
                <w:sz w:val="24"/>
              </w:rPr>
            </w:pPr>
          </w:p>
        </w:tc>
        <w:tc>
          <w:tcPr>
            <w:tcW w:w="1671" w:type="dxa"/>
          </w:tcPr>
          <w:p>
            <w:pPr>
              <w:pStyle w:val="TableParagraph"/>
              <w:rPr>
                <w:rFonts w:ascii="Times New Roman"/>
                <w:sz w:val="24"/>
              </w:rPr>
            </w:pPr>
          </w:p>
        </w:tc>
      </w:tr>
    </w:tbl>
    <w:p>
      <w:pPr>
        <w:spacing w:after="0"/>
        <w:rPr>
          <w:rFonts w:ascii="Times New Roman"/>
          <w:sz w:val="24"/>
        </w:rPr>
        <w:sectPr>
          <w:pgSz w:w="11910" w:h="8400" w:orient="landscape"/>
          <w:pgMar w:header="0" w:footer="877" w:top="740" w:bottom="1060" w:left="880" w:right="880"/>
        </w:sectPr>
      </w:pPr>
    </w:p>
    <w:p>
      <w:pPr>
        <w:spacing w:before="33" w:after="8"/>
        <w:ind w:left="1524" w:right="0" w:firstLine="0"/>
        <w:jc w:val="left"/>
        <w:rPr>
          <w:rFonts w:ascii="黑体" w:eastAsia="黑体" w:hint="eastAsia"/>
          <w:sz w:val="30"/>
        </w:rPr>
      </w:pPr>
      <w:r>
        <w:rPr>
          <w:rFonts w:ascii="黑体" w:eastAsia="黑体" w:hint="eastAsia"/>
          <w:sz w:val="30"/>
        </w:rPr>
        <w:t>专职(志愿)消防队装备登记表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3"/>
        <w:gridCol w:w="2002"/>
        <w:gridCol w:w="1237"/>
        <w:gridCol w:w="1472"/>
      </w:tblGrid>
      <w:tr>
        <w:trPr>
          <w:trHeight w:val="491" w:hRule="atLeast"/>
        </w:trPr>
        <w:tc>
          <w:tcPr>
            <w:tcW w:w="1813" w:type="dxa"/>
          </w:tcPr>
          <w:p>
            <w:pPr>
              <w:pStyle w:val="TableParagraph"/>
              <w:spacing w:before="133"/>
              <w:ind w:left="486"/>
              <w:rPr>
                <w:sz w:val="21"/>
              </w:rPr>
            </w:pPr>
            <w:r>
              <w:rPr>
                <w:sz w:val="21"/>
              </w:rPr>
              <w:t>装备名称</w:t>
            </w:r>
          </w:p>
        </w:tc>
        <w:tc>
          <w:tcPr>
            <w:tcW w:w="2002" w:type="dxa"/>
          </w:tcPr>
          <w:p>
            <w:pPr>
              <w:pStyle w:val="TableParagraph"/>
              <w:tabs>
                <w:tab w:pos="436" w:val="left" w:leader="none"/>
              </w:tabs>
              <w:spacing w:before="133"/>
              <w:ind w:left="13"/>
              <w:jc w:val="center"/>
              <w:rPr>
                <w:sz w:val="21"/>
              </w:rPr>
            </w:pPr>
            <w:r>
              <w:rPr>
                <w:sz w:val="21"/>
              </w:rPr>
              <w:t>型</w:t>
              <w:tab/>
              <w:t>号</w:t>
            </w:r>
          </w:p>
        </w:tc>
        <w:tc>
          <w:tcPr>
            <w:tcW w:w="1237" w:type="dxa"/>
          </w:tcPr>
          <w:p>
            <w:pPr>
              <w:pStyle w:val="TableParagraph"/>
              <w:spacing w:before="133"/>
              <w:ind w:left="198"/>
              <w:rPr>
                <w:sz w:val="21"/>
              </w:rPr>
            </w:pPr>
            <w:r>
              <w:rPr>
                <w:sz w:val="21"/>
              </w:rPr>
              <w:t>装备数量</w:t>
            </w:r>
          </w:p>
        </w:tc>
        <w:tc>
          <w:tcPr>
            <w:tcW w:w="1472" w:type="dxa"/>
          </w:tcPr>
          <w:p>
            <w:pPr>
              <w:pStyle w:val="TableParagraph"/>
              <w:spacing w:before="133"/>
              <w:ind w:left="315"/>
              <w:rPr>
                <w:sz w:val="21"/>
              </w:rPr>
            </w:pPr>
            <w:r>
              <w:rPr>
                <w:sz w:val="21"/>
              </w:rPr>
              <w:t>购置时间</w:t>
            </w: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4"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4"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2"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1"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r>
        <w:trPr>
          <w:trHeight w:val="494" w:hRule="atLeast"/>
        </w:trPr>
        <w:tc>
          <w:tcPr>
            <w:tcW w:w="1813" w:type="dxa"/>
          </w:tcPr>
          <w:p>
            <w:pPr>
              <w:pStyle w:val="TableParagraph"/>
              <w:rPr>
                <w:rFonts w:ascii="Times New Roman"/>
                <w:sz w:val="24"/>
              </w:rPr>
            </w:pPr>
          </w:p>
        </w:tc>
        <w:tc>
          <w:tcPr>
            <w:tcW w:w="2002" w:type="dxa"/>
          </w:tcPr>
          <w:p>
            <w:pPr>
              <w:pStyle w:val="TableParagraph"/>
              <w:rPr>
                <w:rFonts w:ascii="Times New Roman"/>
                <w:sz w:val="24"/>
              </w:rPr>
            </w:pPr>
          </w:p>
        </w:tc>
        <w:tc>
          <w:tcPr>
            <w:tcW w:w="1237" w:type="dxa"/>
          </w:tcPr>
          <w:p>
            <w:pPr>
              <w:pStyle w:val="TableParagraph"/>
              <w:rPr>
                <w:rFonts w:ascii="Times New Roman"/>
                <w:sz w:val="24"/>
              </w:rPr>
            </w:pPr>
          </w:p>
        </w:tc>
        <w:tc>
          <w:tcPr>
            <w:tcW w:w="1472" w:type="dxa"/>
          </w:tcPr>
          <w:p>
            <w:pPr>
              <w:pStyle w:val="TableParagraph"/>
              <w:rPr>
                <w:rFonts w:ascii="Times New Roman"/>
                <w:sz w:val="24"/>
              </w:rPr>
            </w:pPr>
          </w:p>
        </w:tc>
      </w:tr>
    </w:tbl>
    <w:p>
      <w:pPr>
        <w:spacing w:after="0"/>
        <w:rPr>
          <w:rFonts w:ascii="Times New Roman"/>
          <w:sz w:val="24"/>
        </w:rPr>
        <w:sectPr>
          <w:footerReference w:type="even" r:id="rId30"/>
          <w:footerReference w:type="default" r:id="rId31"/>
          <w:pgSz w:w="8400" w:h="11910"/>
          <w:pgMar w:footer="834" w:header="0" w:top="980" w:bottom="1020" w:left="720" w:right="720"/>
          <w:pgNumType w:start="50"/>
        </w:sectPr>
      </w:pPr>
    </w:p>
    <w:p>
      <w:pPr>
        <w:spacing w:before="33" w:after="8"/>
        <w:ind w:left="1209" w:right="1209" w:firstLine="0"/>
        <w:jc w:val="center"/>
        <w:rPr>
          <w:rFonts w:ascii="黑体" w:eastAsia="黑体" w:hint="eastAsia"/>
          <w:sz w:val="30"/>
        </w:rPr>
      </w:pPr>
      <w:r>
        <w:rPr>
          <w:rFonts w:ascii="黑体" w:eastAsia="黑体" w:hint="eastAsia"/>
          <w:sz w:val="30"/>
        </w:rPr>
        <w:t>灭火和应急疏散预案</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1424"/>
        <w:gridCol w:w="4276"/>
      </w:tblGrid>
      <w:tr>
        <w:trPr>
          <w:trHeight w:val="277" w:hRule="atLeast"/>
        </w:trPr>
        <w:tc>
          <w:tcPr>
            <w:tcW w:w="823" w:type="dxa"/>
          </w:tcPr>
          <w:p>
            <w:pPr>
              <w:pStyle w:val="TableParagraph"/>
              <w:spacing w:line="245" w:lineRule="exact" w:before="13"/>
              <w:ind w:left="203"/>
              <w:rPr>
                <w:sz w:val="21"/>
              </w:rPr>
            </w:pPr>
            <w:r>
              <w:rPr>
                <w:sz w:val="21"/>
              </w:rPr>
              <w:t>部位</w:t>
            </w:r>
          </w:p>
        </w:tc>
        <w:tc>
          <w:tcPr>
            <w:tcW w:w="5700" w:type="dxa"/>
            <w:gridSpan w:val="2"/>
          </w:tcPr>
          <w:p>
            <w:pPr>
              <w:pStyle w:val="TableParagraph"/>
              <w:rPr>
                <w:rFonts w:ascii="Times New Roman"/>
                <w:sz w:val="20"/>
              </w:rPr>
            </w:pPr>
          </w:p>
        </w:tc>
      </w:tr>
      <w:tr>
        <w:trPr>
          <w:trHeight w:val="287" w:hRule="atLeast"/>
        </w:trPr>
        <w:tc>
          <w:tcPr>
            <w:tcW w:w="823" w:type="dxa"/>
            <w:vMerge w:val="restart"/>
          </w:tcPr>
          <w:p>
            <w:pPr>
              <w:pStyle w:val="TableParagraph"/>
              <w:rPr>
                <w:rFonts w:ascii="黑体"/>
                <w:sz w:val="20"/>
              </w:rPr>
            </w:pPr>
          </w:p>
          <w:p>
            <w:pPr>
              <w:pStyle w:val="TableParagraph"/>
              <w:spacing w:before="8"/>
              <w:rPr>
                <w:rFonts w:ascii="黑体"/>
                <w:sz w:val="15"/>
              </w:rPr>
            </w:pPr>
          </w:p>
          <w:p>
            <w:pPr>
              <w:pStyle w:val="TableParagraph"/>
              <w:spacing w:line="249" w:lineRule="auto"/>
              <w:ind w:left="203" w:right="184"/>
              <w:rPr>
                <w:sz w:val="21"/>
              </w:rPr>
            </w:pPr>
            <w:r>
              <w:rPr>
                <w:sz w:val="21"/>
              </w:rPr>
              <w:t>组织机构</w:t>
            </w:r>
          </w:p>
        </w:tc>
        <w:tc>
          <w:tcPr>
            <w:tcW w:w="1424" w:type="dxa"/>
          </w:tcPr>
          <w:p>
            <w:pPr>
              <w:pStyle w:val="TableParagraph"/>
              <w:spacing w:line="250" w:lineRule="exact" w:before="18"/>
              <w:ind w:left="184"/>
              <w:rPr>
                <w:sz w:val="21"/>
              </w:rPr>
            </w:pPr>
            <w:r>
              <w:rPr>
                <w:sz w:val="21"/>
              </w:rPr>
              <w:t>灭火行动组</w:t>
            </w:r>
          </w:p>
        </w:tc>
        <w:tc>
          <w:tcPr>
            <w:tcW w:w="4276" w:type="dxa"/>
          </w:tcPr>
          <w:p>
            <w:pPr>
              <w:pStyle w:val="TableParagraph"/>
              <w:rPr>
                <w:rFonts w:ascii="Times New Roman"/>
                <w:sz w:val="20"/>
              </w:rPr>
            </w:pPr>
          </w:p>
        </w:tc>
      </w:tr>
      <w:tr>
        <w:trPr>
          <w:trHeight w:val="287" w:hRule="atLeast"/>
        </w:trPr>
        <w:tc>
          <w:tcPr>
            <w:tcW w:w="823" w:type="dxa"/>
            <w:vMerge/>
            <w:tcBorders>
              <w:top w:val="nil"/>
            </w:tcBorders>
          </w:tcPr>
          <w:p>
            <w:pPr>
              <w:rPr>
                <w:sz w:val="2"/>
                <w:szCs w:val="2"/>
              </w:rPr>
            </w:pPr>
          </w:p>
        </w:tc>
        <w:tc>
          <w:tcPr>
            <w:tcW w:w="1424" w:type="dxa"/>
          </w:tcPr>
          <w:p>
            <w:pPr>
              <w:pStyle w:val="TableParagraph"/>
              <w:spacing w:line="250" w:lineRule="exact" w:before="18"/>
              <w:ind w:left="184"/>
              <w:rPr>
                <w:sz w:val="21"/>
              </w:rPr>
            </w:pPr>
            <w:r>
              <w:rPr>
                <w:sz w:val="21"/>
              </w:rPr>
              <w:t>通讯联络组</w:t>
            </w:r>
          </w:p>
        </w:tc>
        <w:tc>
          <w:tcPr>
            <w:tcW w:w="4276" w:type="dxa"/>
          </w:tcPr>
          <w:p>
            <w:pPr>
              <w:pStyle w:val="TableParagraph"/>
              <w:rPr>
                <w:rFonts w:ascii="Times New Roman"/>
                <w:sz w:val="20"/>
              </w:rPr>
            </w:pPr>
          </w:p>
        </w:tc>
      </w:tr>
      <w:tr>
        <w:trPr>
          <w:trHeight w:val="280" w:hRule="atLeast"/>
        </w:trPr>
        <w:tc>
          <w:tcPr>
            <w:tcW w:w="823" w:type="dxa"/>
            <w:vMerge/>
            <w:tcBorders>
              <w:top w:val="nil"/>
            </w:tcBorders>
          </w:tcPr>
          <w:p>
            <w:pPr>
              <w:rPr>
                <w:sz w:val="2"/>
                <w:szCs w:val="2"/>
              </w:rPr>
            </w:pPr>
          </w:p>
        </w:tc>
        <w:tc>
          <w:tcPr>
            <w:tcW w:w="1424" w:type="dxa"/>
          </w:tcPr>
          <w:p>
            <w:pPr>
              <w:pStyle w:val="TableParagraph"/>
              <w:spacing w:line="247" w:lineRule="exact" w:before="13"/>
              <w:ind w:left="184"/>
              <w:rPr>
                <w:sz w:val="21"/>
              </w:rPr>
            </w:pPr>
            <w:r>
              <w:rPr>
                <w:sz w:val="21"/>
              </w:rPr>
              <w:t>疏散引导组</w:t>
            </w:r>
          </w:p>
        </w:tc>
        <w:tc>
          <w:tcPr>
            <w:tcW w:w="4276" w:type="dxa"/>
          </w:tcPr>
          <w:p>
            <w:pPr>
              <w:pStyle w:val="TableParagraph"/>
              <w:rPr>
                <w:rFonts w:ascii="Times New Roman"/>
                <w:sz w:val="20"/>
              </w:rPr>
            </w:pPr>
          </w:p>
        </w:tc>
      </w:tr>
      <w:tr>
        <w:trPr>
          <w:trHeight w:val="561" w:hRule="atLeast"/>
        </w:trPr>
        <w:tc>
          <w:tcPr>
            <w:tcW w:w="823" w:type="dxa"/>
            <w:vMerge/>
            <w:tcBorders>
              <w:top w:val="nil"/>
            </w:tcBorders>
          </w:tcPr>
          <w:p>
            <w:pPr>
              <w:rPr>
                <w:sz w:val="2"/>
                <w:szCs w:val="2"/>
              </w:rPr>
            </w:pPr>
          </w:p>
        </w:tc>
        <w:tc>
          <w:tcPr>
            <w:tcW w:w="1424" w:type="dxa"/>
          </w:tcPr>
          <w:p>
            <w:pPr>
              <w:pStyle w:val="TableParagraph"/>
              <w:spacing w:line="280" w:lineRule="atLeast" w:before="2"/>
              <w:ind w:left="395" w:right="279" w:hanging="106"/>
              <w:rPr>
                <w:sz w:val="21"/>
              </w:rPr>
            </w:pPr>
            <w:r>
              <w:rPr>
                <w:sz w:val="21"/>
              </w:rPr>
              <w:t>安全防护救护组</w:t>
            </w:r>
          </w:p>
        </w:tc>
        <w:tc>
          <w:tcPr>
            <w:tcW w:w="4276" w:type="dxa"/>
          </w:tcPr>
          <w:p>
            <w:pPr>
              <w:pStyle w:val="TableParagraph"/>
              <w:rPr>
                <w:rFonts w:ascii="Times New Roman"/>
                <w:sz w:val="22"/>
              </w:rPr>
            </w:pPr>
          </w:p>
        </w:tc>
      </w:tr>
      <w:tr>
        <w:trPr>
          <w:trHeight w:val="1484" w:hRule="atLeast"/>
        </w:trPr>
        <w:tc>
          <w:tcPr>
            <w:tcW w:w="823" w:type="dxa"/>
          </w:tcPr>
          <w:p>
            <w:pPr>
              <w:pStyle w:val="TableParagraph"/>
              <w:spacing w:line="249" w:lineRule="auto" w:before="55"/>
              <w:ind w:left="203" w:right="184"/>
              <w:jc w:val="both"/>
              <w:rPr>
                <w:sz w:val="21"/>
              </w:rPr>
            </w:pPr>
            <w:r>
              <w:rPr>
                <w:sz w:val="21"/>
              </w:rPr>
              <w:t>报警和接警处置程序</w:t>
            </w:r>
          </w:p>
        </w:tc>
        <w:tc>
          <w:tcPr>
            <w:tcW w:w="5700" w:type="dxa"/>
            <w:gridSpan w:val="2"/>
          </w:tcPr>
          <w:p>
            <w:pPr>
              <w:pStyle w:val="TableParagraph"/>
              <w:rPr>
                <w:rFonts w:ascii="Times New Roman"/>
                <w:sz w:val="22"/>
              </w:rPr>
            </w:pPr>
          </w:p>
        </w:tc>
      </w:tr>
      <w:tr>
        <w:trPr>
          <w:trHeight w:val="1679" w:hRule="atLeast"/>
        </w:trPr>
        <w:tc>
          <w:tcPr>
            <w:tcW w:w="823" w:type="dxa"/>
          </w:tcPr>
          <w:p>
            <w:pPr>
              <w:pStyle w:val="TableParagraph"/>
              <w:spacing w:line="249" w:lineRule="auto" w:before="13"/>
              <w:ind w:left="203" w:right="184"/>
              <w:jc w:val="both"/>
              <w:rPr>
                <w:sz w:val="21"/>
              </w:rPr>
            </w:pPr>
            <w:r>
              <w:rPr>
                <w:spacing w:val="-9"/>
                <w:sz w:val="21"/>
              </w:rPr>
              <w:t>应急疏散的组织程序和</w:t>
            </w:r>
          </w:p>
          <w:p>
            <w:pPr>
              <w:pStyle w:val="TableParagraph"/>
              <w:spacing w:line="247" w:lineRule="exact"/>
              <w:ind w:left="203"/>
              <w:rPr>
                <w:sz w:val="21"/>
              </w:rPr>
            </w:pPr>
            <w:r>
              <w:rPr>
                <w:sz w:val="21"/>
              </w:rPr>
              <w:t>措施</w:t>
            </w:r>
          </w:p>
        </w:tc>
        <w:tc>
          <w:tcPr>
            <w:tcW w:w="5700" w:type="dxa"/>
            <w:gridSpan w:val="2"/>
          </w:tcPr>
          <w:p>
            <w:pPr>
              <w:pStyle w:val="TableParagraph"/>
              <w:rPr>
                <w:rFonts w:ascii="Times New Roman"/>
                <w:sz w:val="22"/>
              </w:rPr>
            </w:pPr>
          </w:p>
        </w:tc>
      </w:tr>
      <w:tr>
        <w:trPr>
          <w:trHeight w:val="1680" w:hRule="atLeast"/>
        </w:trPr>
        <w:tc>
          <w:tcPr>
            <w:tcW w:w="823" w:type="dxa"/>
          </w:tcPr>
          <w:p>
            <w:pPr>
              <w:pStyle w:val="TableParagraph"/>
              <w:spacing w:line="249" w:lineRule="auto" w:before="13"/>
              <w:ind w:left="203" w:right="184"/>
              <w:jc w:val="both"/>
              <w:rPr>
                <w:sz w:val="21"/>
              </w:rPr>
            </w:pPr>
            <w:r>
              <w:rPr>
                <w:spacing w:val="-9"/>
                <w:sz w:val="21"/>
              </w:rPr>
              <w:t>扑救初期火灾的程序和</w:t>
            </w:r>
          </w:p>
          <w:p>
            <w:pPr>
              <w:pStyle w:val="TableParagraph"/>
              <w:spacing w:line="245" w:lineRule="exact" w:before="3"/>
              <w:ind w:left="203"/>
              <w:rPr>
                <w:sz w:val="21"/>
              </w:rPr>
            </w:pPr>
            <w:r>
              <w:rPr>
                <w:sz w:val="21"/>
              </w:rPr>
              <w:t>措施</w:t>
            </w:r>
          </w:p>
        </w:tc>
        <w:tc>
          <w:tcPr>
            <w:tcW w:w="5700" w:type="dxa"/>
            <w:gridSpan w:val="2"/>
          </w:tcPr>
          <w:p>
            <w:pPr>
              <w:pStyle w:val="TableParagraph"/>
              <w:rPr>
                <w:rFonts w:ascii="Times New Roman"/>
                <w:sz w:val="22"/>
              </w:rPr>
            </w:pPr>
          </w:p>
        </w:tc>
      </w:tr>
      <w:tr>
        <w:trPr>
          <w:trHeight w:val="2354" w:hRule="atLeast"/>
        </w:trPr>
        <w:tc>
          <w:tcPr>
            <w:tcW w:w="823" w:type="dxa"/>
          </w:tcPr>
          <w:p>
            <w:pPr>
              <w:pStyle w:val="TableParagraph"/>
              <w:spacing w:line="249" w:lineRule="auto" w:before="70"/>
              <w:ind w:left="110" w:right="67"/>
              <w:rPr>
                <w:sz w:val="21"/>
              </w:rPr>
            </w:pPr>
            <w:r>
              <w:rPr>
                <w:sz w:val="21"/>
              </w:rPr>
              <w:t>通 讯 联络、安 全 防 护 救 护 的 程 序 和 措施</w:t>
            </w:r>
          </w:p>
        </w:tc>
        <w:tc>
          <w:tcPr>
            <w:tcW w:w="5700" w:type="dxa"/>
            <w:gridSpan w:val="2"/>
          </w:tcPr>
          <w:p>
            <w:pPr>
              <w:pStyle w:val="TableParagraph"/>
              <w:rPr>
                <w:rFonts w:ascii="Times New Roman"/>
                <w:sz w:val="22"/>
              </w:rPr>
            </w:pPr>
          </w:p>
        </w:tc>
      </w:tr>
    </w:tbl>
    <w:p>
      <w:pPr>
        <w:spacing w:after="0"/>
        <w:rPr>
          <w:rFonts w:ascii="Times New Roman"/>
          <w:sz w:val="22"/>
        </w:rPr>
        <w:sectPr>
          <w:pgSz w:w="8400" w:h="11910"/>
          <w:pgMar w:header="0" w:footer="875" w:top="980" w:bottom="1060" w:left="720" w:right="720"/>
        </w:sectPr>
      </w:pPr>
    </w:p>
    <w:p>
      <w:pPr>
        <w:spacing w:before="33"/>
        <w:ind w:left="1676" w:right="0" w:firstLine="0"/>
        <w:jc w:val="left"/>
        <w:rPr>
          <w:rFonts w:ascii="黑体" w:eastAsia="黑体" w:hint="eastAsia"/>
          <w:sz w:val="30"/>
        </w:rPr>
      </w:pPr>
      <w:r>
        <w:rPr>
          <w:rFonts w:ascii="黑体" w:eastAsia="黑体" w:hint="eastAsia"/>
          <w:sz w:val="30"/>
        </w:rPr>
        <w:t>灭火和应急疏散预案(模板)</w:t>
      </w:r>
    </w:p>
    <w:p>
      <w:pPr>
        <w:pStyle w:val="BodyText"/>
        <w:ind w:left="0"/>
        <w:rPr>
          <w:rFonts w:ascii="黑体"/>
          <w:sz w:val="30"/>
        </w:rPr>
      </w:pPr>
    </w:p>
    <w:p>
      <w:pPr>
        <w:pStyle w:val="BodyText"/>
        <w:spacing w:line="328" w:lineRule="auto" w:before="218"/>
        <w:ind w:left="300" w:right="254" w:firstLine="482"/>
      </w:pPr>
      <w:r>
        <w:rPr/>
        <w:t>一、</w:t>
      </w:r>
      <w:r>
        <w:rPr>
          <w:b/>
        </w:rPr>
        <w:t>编制的目的</w:t>
      </w:r>
      <w:r>
        <w:rPr/>
        <w:t>(为了在单位发生火灾等紧急情况时，现场人员能安全、快速地进行疏散工作，相关工作人员能有效的扑救火灾等情况，特制订本灭火疏散预案，并进行实际演练。)</w:t>
      </w:r>
    </w:p>
    <w:p>
      <w:pPr>
        <w:spacing w:line="328" w:lineRule="auto" w:before="0"/>
        <w:ind w:left="780" w:right="2792" w:firstLine="2"/>
        <w:jc w:val="left"/>
        <w:rPr>
          <w:sz w:val="24"/>
        </w:rPr>
      </w:pPr>
      <w:r>
        <w:rPr>
          <w:b/>
          <w:sz w:val="24"/>
        </w:rPr>
        <w:t>二、领导小组(需要明确到个人) </w:t>
      </w:r>
      <w:r>
        <w:rPr>
          <w:sz w:val="24"/>
        </w:rPr>
        <w:t>总指挥：---</w:t>
      </w:r>
    </w:p>
    <w:p>
      <w:pPr>
        <w:pStyle w:val="BodyText"/>
        <w:spacing w:line="328" w:lineRule="auto"/>
        <w:ind w:left="780" w:right="4489"/>
        <w:jc w:val="both"/>
      </w:pPr>
      <w:r>
        <w:rPr/>
        <w:t>灭火行动组：-- 疏散引导组：-- 通讯联络组：-- 医护救护组：-- 应急保障组：--</w:t>
      </w:r>
    </w:p>
    <w:p>
      <w:pPr>
        <w:pStyle w:val="Heading3"/>
        <w:spacing w:line="328" w:lineRule="auto"/>
        <w:ind w:left="300" w:right="178" w:firstLine="482"/>
        <w:rPr>
          <w:rFonts w:ascii="仿宋" w:eastAsia="仿宋" w:hint="eastAsia"/>
        </w:rPr>
      </w:pPr>
      <w:r>
        <w:rPr>
          <w:rFonts w:ascii="仿宋" w:eastAsia="仿宋" w:hint="eastAsia"/>
          <w:spacing w:val="-14"/>
        </w:rPr>
        <w:t>三、单位基本情况(需简单写明单位概况、所在建筑情况、</w:t>
      </w:r>
      <w:r>
        <w:rPr>
          <w:rFonts w:ascii="仿宋" w:eastAsia="仿宋" w:hint="eastAsia"/>
        </w:rPr>
        <w:t>建筑消防设施情况、重点部位情况等)---</w:t>
      </w:r>
    </w:p>
    <w:p>
      <w:pPr>
        <w:spacing w:line="328" w:lineRule="auto" w:before="0"/>
        <w:ind w:left="226" w:right="298" w:firstLine="482"/>
        <w:jc w:val="right"/>
        <w:rPr>
          <w:sz w:val="24"/>
        </w:rPr>
      </w:pPr>
      <w:r>
        <w:rPr>
          <w:b/>
          <w:w w:val="95"/>
          <w:sz w:val="24"/>
        </w:rPr>
        <w:t>四、火灾情况设定</w:t>
      </w:r>
      <w:r>
        <w:rPr>
          <w:w w:val="95"/>
          <w:sz w:val="24"/>
        </w:rPr>
        <w:t>(设定可能发生的火灾事故，包括常见 </w:t>
      </w:r>
      <w:r>
        <w:rPr>
          <w:sz w:val="24"/>
        </w:rPr>
        <w:t>引火源、可燃物的性质危及范围，爆炸、泄漏及蔓延等情况)</w:t>
      </w:r>
      <w:r>
        <w:rPr>
          <w:b/>
          <w:w w:val="95"/>
          <w:sz w:val="24"/>
        </w:rPr>
        <w:t>五、应急指挥部设置</w:t>
      </w:r>
      <w:r>
        <w:rPr>
          <w:w w:val="95"/>
          <w:sz w:val="24"/>
        </w:rPr>
        <w:t>(一般设在消防控制室，或视单位情</w:t>
      </w:r>
    </w:p>
    <w:p>
      <w:pPr>
        <w:pStyle w:val="BodyText"/>
        <w:spacing w:line="304" w:lineRule="exact"/>
        <w:ind w:left="300"/>
      </w:pPr>
      <w:r>
        <w:rPr/>
        <w:t>况设置在其它安全地带)</w:t>
      </w:r>
    </w:p>
    <w:p>
      <w:pPr>
        <w:pStyle w:val="BodyText"/>
        <w:spacing w:line="328" w:lineRule="auto" w:before="98"/>
        <w:ind w:left="300" w:right="254" w:firstLine="482"/>
      </w:pPr>
      <w:r>
        <w:rPr>
          <w:b/>
        </w:rPr>
        <w:t>六、指挥调度</w:t>
      </w:r>
      <w:r>
        <w:rPr/>
        <w:t>(明确统一的通信方式，统一通信器材，负责人按现场情况科学的下达灭火疏散指令，使到达一线的人员符合行动需要)</w:t>
      </w:r>
    </w:p>
    <w:p>
      <w:pPr>
        <w:spacing w:line="304" w:lineRule="exact" w:before="0"/>
        <w:ind w:left="782" w:right="0" w:firstLine="0"/>
        <w:jc w:val="left"/>
        <w:rPr>
          <w:sz w:val="24"/>
        </w:rPr>
      </w:pPr>
      <w:r>
        <w:rPr>
          <w:b/>
          <w:sz w:val="24"/>
        </w:rPr>
        <w:t>七、灭火行动</w:t>
      </w:r>
      <w:r>
        <w:rPr>
          <w:sz w:val="24"/>
        </w:rPr>
        <w:t>(明确一线灭火人员的安全，补救范围，撤</w:t>
      </w:r>
    </w:p>
    <w:p>
      <w:pPr>
        <w:spacing w:after="0" w:line="304" w:lineRule="exact"/>
        <w:jc w:val="left"/>
        <w:rPr>
          <w:sz w:val="24"/>
        </w:rPr>
        <w:sectPr>
          <w:pgSz w:w="8400" w:h="11910"/>
          <w:pgMar w:header="0" w:footer="834" w:top="980" w:bottom="1020" w:left="720" w:right="720"/>
        </w:sectPr>
      </w:pPr>
    </w:p>
    <w:p>
      <w:pPr>
        <w:pStyle w:val="BodyText"/>
        <w:spacing w:line="328" w:lineRule="auto" w:before="50"/>
        <w:ind w:left="300" w:right="179"/>
      </w:pPr>
      <w:r>
        <w:rPr>
          <w:spacing w:val="-3"/>
        </w:rPr>
        <w:t>离火场的条件，信号等措施；规定各类消防设施启动的原则， </w:t>
      </w:r>
      <w:r>
        <w:rPr/>
        <w:t>明确不同区域的先后顺序，启动时机，方法，步骤等；明确 不同火场的灭火方法等)</w:t>
      </w:r>
    </w:p>
    <w:p>
      <w:pPr>
        <w:pStyle w:val="BodyText"/>
        <w:spacing w:line="328" w:lineRule="auto"/>
        <w:ind w:left="300" w:right="297" w:firstLine="482"/>
      </w:pPr>
      <w:r>
        <w:rPr>
          <w:b/>
          <w:spacing w:val="-2"/>
        </w:rPr>
        <w:t>八、疏散引导</w:t>
      </w:r>
      <w:r>
        <w:rPr>
          <w:spacing w:val="-3"/>
        </w:rPr>
        <w:t>(与灭火行动同时进行，明确事故现场撤离</w:t>
      </w:r>
      <w:r>
        <w:rPr/>
        <w:t>的方法，方式，明确撤离使用的物品如应急广播、疏散引导系统、防毒面具，湿毛巾等)</w:t>
      </w:r>
    </w:p>
    <w:p>
      <w:pPr>
        <w:pStyle w:val="BodyText"/>
        <w:spacing w:line="328" w:lineRule="auto"/>
        <w:ind w:left="300" w:right="297" w:firstLine="482"/>
      </w:pPr>
      <w:r>
        <w:rPr>
          <w:b/>
          <w:spacing w:val="-2"/>
        </w:rPr>
        <w:t>九、现场救护</w:t>
      </w:r>
      <w:r>
        <w:rPr>
          <w:spacing w:val="-4"/>
        </w:rPr>
        <w:t>(对受伤人员进行救治的方式、方法，及时</w:t>
      </w:r>
      <w:r>
        <w:rPr>
          <w:spacing w:val="-10"/>
        </w:rPr>
        <w:t>打急救电话 </w:t>
      </w:r>
      <w:r>
        <w:rPr/>
        <w:t>120</w:t>
      </w:r>
      <w:r>
        <w:rPr>
          <w:spacing w:val="-9"/>
        </w:rPr>
        <w:t> 等相关措施)</w:t>
      </w:r>
    </w:p>
    <w:p>
      <w:pPr>
        <w:pStyle w:val="BodyText"/>
        <w:spacing w:line="328" w:lineRule="auto"/>
        <w:ind w:left="300" w:right="254" w:firstLine="482"/>
      </w:pPr>
      <w:r>
        <w:rPr>
          <w:b/>
        </w:rPr>
        <w:t>十、应急保障</w:t>
      </w:r>
      <w:r>
        <w:rPr/>
        <w:t>(制定值班表，明确单位物质和装备，明确经费等相关保障措施)</w:t>
      </w:r>
    </w:p>
    <w:p>
      <w:pPr>
        <w:pStyle w:val="BodyText"/>
        <w:spacing w:line="328" w:lineRule="auto"/>
        <w:ind w:left="300" w:right="255" w:firstLine="482"/>
      </w:pPr>
      <w:r>
        <w:rPr>
          <w:b/>
        </w:rPr>
        <w:t>十一、后期处置</w:t>
      </w:r>
      <w:r>
        <w:rPr/>
        <w:t>(说明火灾现场警戒及协助调查，信息发布，医疗救治，人员安置等问题)</w:t>
      </w:r>
    </w:p>
    <w:p>
      <w:pPr>
        <w:pStyle w:val="BodyText"/>
        <w:spacing w:line="328" w:lineRule="auto"/>
        <w:ind w:left="300" w:right="280" w:firstLine="482"/>
      </w:pPr>
      <w:r>
        <w:rPr>
          <w:b/>
        </w:rPr>
        <w:t>十二、应急演练</w:t>
      </w:r>
      <w:r>
        <w:rPr/>
        <w:t>(由指挥部统一组织，本单位整体演练， 必要时报消防部门业务指导，重点单位每半年一次，火灾高危单位每季度组织一次，其他单位一年一次)</w:t>
      </w:r>
    </w:p>
    <w:p>
      <w:pPr>
        <w:pStyle w:val="BodyText"/>
        <w:spacing w:line="328" w:lineRule="auto"/>
        <w:ind w:left="300" w:right="253" w:firstLine="482"/>
      </w:pPr>
      <w:r>
        <w:rPr>
          <w:b/>
        </w:rPr>
        <w:t>十三、预案的学习考核</w:t>
      </w:r>
      <w:r>
        <w:rPr/>
        <w:t>(定期组织本单位员工对各级预案进行学习，结合岗位职责分工明确各角色考核要求，量化考核标准，纳入本单位总体工作考核)</w:t>
      </w:r>
    </w:p>
    <w:p>
      <w:pPr>
        <w:pStyle w:val="Heading3"/>
        <w:spacing w:line="328" w:lineRule="auto"/>
        <w:ind w:left="300" w:right="386" w:firstLine="482"/>
        <w:rPr>
          <w:rFonts w:ascii="仿宋" w:eastAsia="仿宋" w:hint="eastAsia"/>
        </w:rPr>
      </w:pPr>
      <w:r>
        <w:rPr>
          <w:rFonts w:ascii="仿宋" w:eastAsia="仿宋" w:hint="eastAsia"/>
        </w:rPr>
        <w:t>十四、单位法人签字，单位盖章，交一份给消防救援部门备案。</w:t>
      </w:r>
    </w:p>
    <w:p>
      <w:pPr>
        <w:spacing w:after="0" w:line="328" w:lineRule="auto"/>
        <w:rPr>
          <w:rFonts w:ascii="仿宋" w:eastAsia="仿宋" w:hint="eastAsia"/>
        </w:rPr>
        <w:sectPr>
          <w:pgSz w:w="8400" w:h="11910"/>
          <w:pgMar w:header="0" w:footer="875" w:top="1060" w:bottom="1060" w:left="720" w:right="720"/>
        </w:sectPr>
      </w:pPr>
    </w:p>
    <w:p>
      <w:pPr>
        <w:pStyle w:val="Heading2"/>
        <w:spacing w:before="33"/>
        <w:ind w:left="300"/>
        <w:jc w:val="left"/>
      </w:pPr>
      <w:bookmarkStart w:name="_bookmark24" w:id="25"/>
      <w:bookmarkEnd w:id="25"/>
      <w:r>
        <w:rPr>
          <w:b w:val="0"/>
        </w:rPr>
      </w:r>
      <w:r>
        <w:rPr/>
        <w:t>附件二：建筑消防设施重点部位防火巡查日记录本</w:t>
      </w:r>
    </w:p>
    <w:p>
      <w:pPr>
        <w:pStyle w:val="BodyText"/>
        <w:ind w:left="0"/>
        <w:rPr>
          <w:b/>
          <w:sz w:val="28"/>
        </w:rPr>
      </w:pPr>
    </w:p>
    <w:p>
      <w:pPr>
        <w:pStyle w:val="BodyText"/>
        <w:spacing w:before="5"/>
        <w:ind w:left="0"/>
        <w:rPr>
          <w:b/>
          <w:sz w:val="29"/>
        </w:rPr>
      </w:pPr>
    </w:p>
    <w:p>
      <w:pPr>
        <w:spacing w:line="213" w:lineRule="auto" w:before="0"/>
        <w:ind w:left="1714" w:right="1717" w:firstLine="441"/>
        <w:jc w:val="left"/>
        <w:rPr>
          <w:rFonts w:ascii="Arial Unicode MS" w:eastAsia="Arial Unicode MS" w:hint="eastAsia"/>
          <w:sz w:val="44"/>
        </w:rPr>
      </w:pPr>
      <w:r>
        <w:rPr>
          <w:rFonts w:ascii="Arial Unicode MS" w:eastAsia="Arial Unicode MS" w:hint="eastAsia"/>
          <w:sz w:val="44"/>
        </w:rPr>
        <w:t>建筑消防设施 </w:t>
      </w:r>
      <w:r>
        <w:rPr>
          <w:rFonts w:ascii="Arial Unicode MS" w:eastAsia="Arial Unicode MS" w:hint="eastAsia"/>
          <w:spacing w:val="-2"/>
          <w:sz w:val="44"/>
        </w:rPr>
        <w:t>重点部位防火巡查</w:t>
      </w:r>
    </w:p>
    <w:p>
      <w:pPr>
        <w:spacing w:line="708" w:lineRule="exact" w:before="0"/>
        <w:ind w:left="2595" w:right="0" w:firstLine="0"/>
        <w:jc w:val="left"/>
        <w:rPr>
          <w:rFonts w:ascii="Arial Unicode MS" w:eastAsia="Arial Unicode MS" w:hint="eastAsia"/>
          <w:sz w:val="44"/>
        </w:rPr>
      </w:pPr>
      <w:r>
        <w:rPr>
          <w:rFonts w:ascii="Arial Unicode MS" w:eastAsia="Arial Unicode MS" w:hint="eastAsia"/>
          <w:sz w:val="44"/>
        </w:rPr>
        <w:t>日记录本</w:t>
      </w:r>
    </w:p>
    <w:p>
      <w:pPr>
        <w:pStyle w:val="BodyText"/>
        <w:ind w:left="0"/>
        <w:rPr>
          <w:rFonts w:ascii="Arial Unicode MS"/>
          <w:sz w:val="52"/>
        </w:rPr>
      </w:pPr>
    </w:p>
    <w:p>
      <w:pPr>
        <w:pStyle w:val="BodyText"/>
        <w:ind w:left="0"/>
        <w:rPr>
          <w:rFonts w:ascii="Arial Unicode MS"/>
          <w:sz w:val="54"/>
        </w:rPr>
      </w:pPr>
    </w:p>
    <w:p>
      <w:pPr>
        <w:tabs>
          <w:tab w:pos="3339" w:val="left" w:leader="none"/>
          <w:tab w:pos="4297" w:val="left" w:leader="none"/>
          <w:tab w:pos="5257" w:val="left" w:leader="none"/>
          <w:tab w:pos="5495" w:val="left" w:leader="none"/>
        </w:tabs>
        <w:spacing w:line="201" w:lineRule="auto" w:before="0"/>
        <w:ind w:left="1099" w:right="1373" w:firstLine="0"/>
        <w:jc w:val="left"/>
        <w:rPr>
          <w:rFonts w:ascii="Arial Unicode MS" w:eastAsia="Arial Unicode MS" w:hint="eastAsia"/>
          <w:sz w:val="32"/>
        </w:rPr>
      </w:pPr>
      <w:r>
        <w:rPr>
          <w:rFonts w:ascii="Arial Unicode MS" w:eastAsia="Arial Unicode MS" w:hint="eastAsia"/>
          <w:w w:val="95"/>
          <w:sz w:val="32"/>
        </w:rPr>
        <w:t>单位名</w:t>
      </w:r>
      <w:r>
        <w:rPr>
          <w:rFonts w:ascii="Arial Unicode MS" w:eastAsia="Arial Unicode MS" w:hint="eastAsia"/>
          <w:spacing w:val="3"/>
          <w:w w:val="95"/>
          <w:sz w:val="32"/>
        </w:rPr>
        <w:t>称</w:t>
      </w:r>
      <w:r>
        <w:rPr>
          <w:rFonts w:ascii="Arial Unicode MS" w:eastAsia="Arial Unicode MS" w:hint="eastAsia"/>
          <w:spacing w:val="3"/>
          <w:w w:val="95"/>
          <w:sz w:val="32"/>
          <w:u w:val="single"/>
        </w:rPr>
        <w:tab/>
        <w:tab/>
        <w:tab/>
        <w:tab/>
      </w:r>
      <w:r>
        <w:rPr>
          <w:rFonts w:ascii="Arial Unicode MS" w:eastAsia="Arial Unicode MS" w:hint="eastAsia"/>
          <w:w w:val="95"/>
          <w:sz w:val="32"/>
          <w:u w:val="single"/>
        </w:rPr>
        <w:t>                                </w:t>
      </w:r>
      <w:r>
        <w:rPr>
          <w:rFonts w:ascii="Arial Unicode MS" w:eastAsia="Arial Unicode MS" w:hint="eastAsia"/>
          <w:sz w:val="32"/>
        </w:rPr>
        <w:t>启用时</w:t>
      </w:r>
      <w:r>
        <w:rPr>
          <w:rFonts w:ascii="Arial Unicode MS" w:eastAsia="Arial Unicode MS" w:hint="eastAsia"/>
          <w:spacing w:val="3"/>
          <w:sz w:val="32"/>
        </w:rPr>
        <w:t>间</w:t>
      </w:r>
      <w:r>
        <w:rPr>
          <w:rFonts w:ascii="Arial Unicode MS" w:eastAsia="Arial Unicode MS" w:hint="eastAsia"/>
          <w:spacing w:val="3"/>
          <w:sz w:val="32"/>
          <w:u w:val="single"/>
        </w:rPr>
        <w:t> </w:t>
        <w:tab/>
      </w:r>
      <w:r>
        <w:rPr>
          <w:rFonts w:ascii="Arial Unicode MS" w:eastAsia="Arial Unicode MS" w:hint="eastAsia"/>
          <w:sz w:val="32"/>
        </w:rPr>
        <w:t>年</w:t>
      </w:r>
      <w:r>
        <w:rPr>
          <w:rFonts w:ascii="Arial Unicode MS" w:eastAsia="Arial Unicode MS" w:hint="eastAsia"/>
          <w:sz w:val="32"/>
          <w:u w:val="single"/>
        </w:rPr>
        <w:t> </w:t>
        <w:tab/>
      </w:r>
      <w:r>
        <w:rPr>
          <w:rFonts w:ascii="Arial Unicode MS" w:eastAsia="Arial Unicode MS" w:hint="eastAsia"/>
          <w:spacing w:val="3"/>
          <w:sz w:val="32"/>
        </w:rPr>
        <w:t>月</w:t>
      </w:r>
      <w:r>
        <w:rPr>
          <w:rFonts w:ascii="Arial Unicode MS" w:eastAsia="Arial Unicode MS" w:hint="eastAsia"/>
          <w:spacing w:val="3"/>
          <w:sz w:val="32"/>
          <w:u w:val="single"/>
        </w:rPr>
        <w:t> </w:t>
        <w:tab/>
      </w:r>
      <w:r>
        <w:rPr>
          <w:rFonts w:ascii="Arial Unicode MS" w:eastAsia="Arial Unicode MS" w:hint="eastAsia"/>
          <w:spacing w:val="-17"/>
          <w:sz w:val="32"/>
        </w:rPr>
        <w:t>日</w:t>
      </w: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spacing w:before="9"/>
        <w:ind w:left="0"/>
        <w:rPr>
          <w:rFonts w:ascii="Arial Unicode MS"/>
          <w:sz w:val="15"/>
        </w:rPr>
      </w:pPr>
    </w:p>
    <w:p>
      <w:pPr>
        <w:tabs>
          <w:tab w:pos="4914" w:val="left" w:leader="none"/>
        </w:tabs>
        <w:spacing w:line="213" w:lineRule="auto" w:before="47"/>
        <w:ind w:left="2585" w:right="1392" w:hanging="1191"/>
        <w:jc w:val="left"/>
        <w:rPr>
          <w:rFonts w:ascii="Arial Unicode MS" w:eastAsia="Arial Unicode MS" w:hint="eastAsia"/>
          <w:sz w:val="32"/>
        </w:rPr>
      </w:pPr>
      <w:r>
        <w:rPr>
          <w:rFonts w:ascii="Arial Unicode MS" w:eastAsia="Arial Unicode MS" w:hint="eastAsia"/>
          <w:sz w:val="32"/>
        </w:rPr>
        <w:t>张家界市消防救援支队</w:t>
        <w:tab/>
        <w:t>监</w:t>
      </w:r>
      <w:r>
        <w:rPr>
          <w:rFonts w:ascii="Arial Unicode MS" w:eastAsia="Arial Unicode MS" w:hint="eastAsia"/>
          <w:spacing w:val="-14"/>
          <w:sz w:val="32"/>
        </w:rPr>
        <w:t>制</w:t>
      </w:r>
      <w:r>
        <w:rPr>
          <w:rFonts w:ascii="Arial Unicode MS" w:eastAsia="Arial Unicode MS" w:hint="eastAsia"/>
          <w:sz w:val="32"/>
        </w:rPr>
        <w:t>二 O 二 O</w:t>
      </w:r>
      <w:r>
        <w:rPr>
          <w:rFonts w:ascii="Arial Unicode MS" w:eastAsia="Arial Unicode MS" w:hint="eastAsia"/>
          <w:spacing w:val="-39"/>
          <w:sz w:val="32"/>
        </w:rPr>
        <w:t> </w:t>
      </w:r>
      <w:r>
        <w:rPr>
          <w:rFonts w:ascii="Arial Unicode MS" w:eastAsia="Arial Unicode MS" w:hint="eastAsia"/>
          <w:sz w:val="32"/>
        </w:rPr>
        <w:t>年</w:t>
      </w:r>
    </w:p>
    <w:p>
      <w:pPr>
        <w:spacing w:after="0" w:line="213" w:lineRule="auto"/>
        <w:jc w:val="left"/>
        <w:rPr>
          <w:rFonts w:ascii="Arial Unicode MS" w:eastAsia="Arial Unicode MS" w:hint="eastAsia"/>
          <w:sz w:val="32"/>
        </w:rPr>
        <w:sectPr>
          <w:pgSz w:w="8400" w:h="11910"/>
          <w:pgMar w:header="0" w:footer="834" w:top="1020" w:bottom="1020" w:left="720" w:right="720"/>
        </w:sectPr>
      </w:pPr>
    </w:p>
    <w:p>
      <w:pPr>
        <w:pStyle w:val="BodyText"/>
        <w:spacing w:before="12"/>
        <w:ind w:left="0"/>
        <w:rPr>
          <w:rFonts w:ascii="Arial Unicode MS"/>
          <w:sz w:val="12"/>
        </w:rPr>
      </w:pPr>
    </w:p>
    <w:p>
      <w:pPr>
        <w:spacing w:before="58"/>
        <w:ind w:left="1209" w:right="1209" w:firstLine="0"/>
        <w:jc w:val="center"/>
        <w:rPr>
          <w:rFonts w:ascii="黑体" w:eastAsia="黑体" w:hint="eastAsia"/>
          <w:sz w:val="30"/>
        </w:rPr>
      </w:pPr>
      <w:r>
        <w:rPr>
          <w:rFonts w:ascii="黑体" w:eastAsia="黑体" w:hint="eastAsia"/>
          <w:sz w:val="30"/>
        </w:rPr>
        <w:t>填 写 说 明</w:t>
      </w:r>
    </w:p>
    <w:p>
      <w:pPr>
        <w:pStyle w:val="BodyText"/>
        <w:ind w:left="0"/>
        <w:rPr>
          <w:rFonts w:ascii="黑体"/>
          <w:sz w:val="30"/>
        </w:rPr>
      </w:pPr>
    </w:p>
    <w:p>
      <w:pPr>
        <w:pStyle w:val="BodyText"/>
        <w:spacing w:before="2"/>
        <w:ind w:left="0"/>
        <w:rPr>
          <w:rFonts w:ascii="黑体"/>
          <w:sz w:val="22"/>
        </w:rPr>
      </w:pPr>
    </w:p>
    <w:p>
      <w:pPr>
        <w:pStyle w:val="BodyText"/>
        <w:spacing w:line="297" w:lineRule="auto" w:before="1"/>
        <w:ind w:left="300" w:right="299" w:firstLine="480"/>
      </w:pPr>
      <w:r>
        <w:rPr/>
        <w:t>1、建筑消防设施巡查记录表、重点部位防火巡查记录表均为每日填写。单位建筑无自动消防设施的，可参考自行制定打印每日防火巡查记录表。各表均为样表，单位可根据实际情况制表。</w:t>
      </w:r>
    </w:p>
    <w:p>
      <w:pPr>
        <w:pStyle w:val="BodyText"/>
        <w:spacing w:line="297" w:lineRule="auto"/>
        <w:ind w:left="300" w:right="299" w:firstLine="480"/>
      </w:pPr>
      <w:r>
        <w:rPr/>
        <w:t>2、巡查期间要如实填写消防设施运行状况、重点部位情况，有关故障问题等。填写时，情况正常的打“√”，存在问题或故障的打“×”，并写明故障详细情况；对发现的故障和问题应及时处理，不能及时处置的要填报《建筑消防设施故障处理记录》(本记录本后页)。</w:t>
      </w:r>
    </w:p>
    <w:p>
      <w:pPr>
        <w:pStyle w:val="BodyText"/>
        <w:spacing w:line="295" w:lineRule="auto"/>
        <w:ind w:left="300" w:right="298" w:firstLine="480"/>
      </w:pPr>
      <w:r>
        <w:rPr/>
        <w:t>3、建筑消防设施每月单项检查记录表(本记录本后页)每月填写一次，可结合单位聘请的有资质消防设施维保公司每月开展的维保情况进行填写，相关情况要签字盖章确认。</w:t>
      </w:r>
    </w:p>
    <w:p>
      <w:pPr>
        <w:pStyle w:val="BodyText"/>
        <w:spacing w:line="297" w:lineRule="auto"/>
        <w:ind w:left="300" w:right="299" w:firstLine="480"/>
      </w:pPr>
      <w:r>
        <w:rPr/>
        <w:t>4、建筑消防设施每年联动检查记录表每年(本记录本后页)填写一次，可结合单位聘请的有资质消防设施检测公司每年开展的自动消防设施检测评估情况进行填写，相关情况要签字盖章确认。</w:t>
      </w:r>
    </w:p>
    <w:p>
      <w:pPr>
        <w:pStyle w:val="BodyText"/>
        <w:spacing w:line="297" w:lineRule="auto"/>
        <w:ind w:left="300" w:right="295" w:firstLine="480"/>
        <w:jc w:val="both"/>
      </w:pPr>
      <w:r>
        <w:rPr/>
        <w:t>5、对于室内外消火栓、疏散指示标志、应急照明灯、防火门、灭火器等数量较多的同类消防设施，每日抽查检查数不得少于总数的5%，且一个月内要实现同类检查的全覆盖。</w:t>
      </w:r>
    </w:p>
    <w:p>
      <w:pPr>
        <w:pStyle w:val="BodyText"/>
        <w:spacing w:line="295" w:lineRule="auto"/>
        <w:ind w:left="300" w:right="299" w:firstLine="480"/>
      </w:pPr>
      <w:r>
        <w:rPr/>
        <w:t>6、本记录本内填写的有关内容须经单位消防安全责任人或管理人签字确认，本记录填写完后要注意保存备查。</w:t>
      </w:r>
    </w:p>
    <w:p>
      <w:pPr>
        <w:spacing w:after="0" w:line="295" w:lineRule="auto"/>
        <w:sectPr>
          <w:pgSz w:w="8400" w:h="11910"/>
          <w:pgMar w:header="0" w:footer="875" w:top="1100" w:bottom="1060" w:left="720" w:right="720"/>
        </w:sectPr>
      </w:pPr>
    </w:p>
    <w:p>
      <w:pPr>
        <w:pStyle w:val="Heading1"/>
        <w:spacing w:before="33"/>
        <w:ind w:left="1524"/>
        <w:jc w:val="left"/>
      </w:pPr>
      <w:r>
        <w:rPr/>
        <w:t>建筑消防设施每日巡查记录表</w:t>
      </w:r>
    </w:p>
    <w:p>
      <w:pPr>
        <w:pStyle w:val="BodyText"/>
        <w:tabs>
          <w:tab w:pos="5692" w:val="left" w:leader="none"/>
          <w:tab w:pos="6412" w:val="left" w:leader="none"/>
        </w:tabs>
        <w:spacing w:before="120" w:after="20"/>
        <w:ind w:left="4491"/>
      </w:pPr>
      <w:r>
        <w:rPr/>
        <w:t>日期：</w:t>
      </w:r>
      <w:r>
        <w:rPr>
          <w:u w:val="single"/>
        </w:rPr>
        <w:t> </w:t>
        <w:tab/>
      </w:r>
      <w:r>
        <w:rPr/>
        <w:t>月</w:t>
      </w:r>
      <w:r>
        <w:rPr>
          <w:u w:val="single"/>
        </w:rPr>
        <w:t> </w:t>
        <w:tab/>
      </w:r>
      <w:r>
        <w:rPr/>
        <w:t>日</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555"/>
        <w:gridCol w:w="3109"/>
        <w:gridCol w:w="430"/>
        <w:gridCol w:w="420"/>
        <w:gridCol w:w="1071"/>
      </w:tblGrid>
      <w:tr>
        <w:trPr>
          <w:trHeight w:val="419" w:hRule="atLeast"/>
        </w:trPr>
        <w:tc>
          <w:tcPr>
            <w:tcW w:w="938" w:type="dxa"/>
            <w:vMerge w:val="restart"/>
          </w:tcPr>
          <w:p>
            <w:pPr>
              <w:pStyle w:val="TableParagraph"/>
              <w:rPr>
                <w:rFonts w:ascii="仿宋"/>
                <w:sz w:val="18"/>
              </w:rPr>
            </w:pPr>
          </w:p>
          <w:p>
            <w:pPr>
              <w:pStyle w:val="TableParagraph"/>
              <w:spacing w:line="249" w:lineRule="auto" w:before="117"/>
              <w:ind w:left="290" w:right="275"/>
              <w:rPr>
                <w:sz w:val="18"/>
              </w:rPr>
            </w:pPr>
            <w:r>
              <w:rPr>
                <w:sz w:val="18"/>
              </w:rPr>
              <w:t>巡查项目</w:t>
            </w:r>
          </w:p>
        </w:tc>
        <w:tc>
          <w:tcPr>
            <w:tcW w:w="555" w:type="dxa"/>
            <w:vMerge w:val="restart"/>
          </w:tcPr>
          <w:p>
            <w:pPr>
              <w:pStyle w:val="TableParagraph"/>
              <w:spacing w:line="249" w:lineRule="auto" w:before="108"/>
              <w:ind w:left="187" w:right="175"/>
              <w:jc w:val="both"/>
              <w:rPr>
                <w:sz w:val="18"/>
              </w:rPr>
            </w:pPr>
            <w:r>
              <w:rPr>
                <w:sz w:val="18"/>
              </w:rPr>
              <w:t>是否设置</w:t>
            </w:r>
          </w:p>
        </w:tc>
        <w:tc>
          <w:tcPr>
            <w:tcW w:w="3109" w:type="dxa"/>
            <w:vMerge w:val="restart"/>
          </w:tcPr>
          <w:p>
            <w:pPr>
              <w:pStyle w:val="TableParagraph"/>
              <w:rPr>
                <w:rFonts w:ascii="仿宋"/>
                <w:sz w:val="18"/>
              </w:rPr>
            </w:pPr>
          </w:p>
          <w:p>
            <w:pPr>
              <w:pStyle w:val="TableParagraph"/>
              <w:spacing w:before="6"/>
              <w:rPr>
                <w:rFonts w:ascii="仿宋"/>
                <w:sz w:val="18"/>
              </w:rPr>
            </w:pPr>
          </w:p>
          <w:p>
            <w:pPr>
              <w:pStyle w:val="TableParagraph"/>
              <w:ind w:left="201"/>
              <w:rPr>
                <w:sz w:val="18"/>
              </w:rPr>
            </w:pPr>
            <w:r>
              <w:rPr>
                <w:sz w:val="18"/>
              </w:rPr>
              <w:t>巡查内容(包括但不限于以下内容)</w:t>
            </w:r>
          </w:p>
        </w:tc>
        <w:tc>
          <w:tcPr>
            <w:tcW w:w="1921" w:type="dxa"/>
            <w:gridSpan w:val="3"/>
          </w:tcPr>
          <w:p>
            <w:pPr>
              <w:pStyle w:val="TableParagraph"/>
              <w:spacing w:before="103"/>
              <w:ind w:left="600"/>
              <w:rPr>
                <w:sz w:val="18"/>
              </w:rPr>
            </w:pPr>
            <w:r>
              <w:rPr>
                <w:sz w:val="18"/>
              </w:rPr>
              <w:t>巡查情况</w:t>
            </w:r>
          </w:p>
        </w:tc>
      </w:tr>
      <w:tr>
        <w:trPr>
          <w:trHeight w:val="721" w:hRule="atLeast"/>
        </w:trPr>
        <w:tc>
          <w:tcPr>
            <w:tcW w:w="938" w:type="dxa"/>
            <w:vMerge/>
            <w:tcBorders>
              <w:top w:val="nil"/>
            </w:tcBorders>
          </w:tcPr>
          <w:p>
            <w:pPr>
              <w:rPr>
                <w:sz w:val="2"/>
                <w:szCs w:val="2"/>
              </w:rPr>
            </w:pPr>
          </w:p>
        </w:tc>
        <w:tc>
          <w:tcPr>
            <w:tcW w:w="555" w:type="dxa"/>
            <w:vMerge/>
            <w:tcBorders>
              <w:top w:val="nil"/>
            </w:tcBorders>
          </w:tcPr>
          <w:p>
            <w:pPr>
              <w:rPr>
                <w:sz w:val="2"/>
                <w:szCs w:val="2"/>
              </w:rPr>
            </w:pPr>
          </w:p>
        </w:tc>
        <w:tc>
          <w:tcPr>
            <w:tcW w:w="3109" w:type="dxa"/>
            <w:vMerge/>
            <w:tcBorders>
              <w:top w:val="nil"/>
            </w:tcBorders>
          </w:tcPr>
          <w:p>
            <w:pPr>
              <w:rPr>
                <w:sz w:val="2"/>
                <w:szCs w:val="2"/>
              </w:rPr>
            </w:pPr>
          </w:p>
        </w:tc>
        <w:tc>
          <w:tcPr>
            <w:tcW w:w="430" w:type="dxa"/>
          </w:tcPr>
          <w:p>
            <w:pPr>
              <w:pStyle w:val="TableParagraph"/>
              <w:spacing w:line="249" w:lineRule="auto" w:before="134"/>
              <w:ind w:left="124" w:right="113"/>
              <w:rPr>
                <w:sz w:val="18"/>
              </w:rPr>
            </w:pPr>
            <w:r>
              <w:rPr>
                <w:sz w:val="18"/>
              </w:rPr>
              <w:t>正常</w:t>
            </w:r>
          </w:p>
        </w:tc>
        <w:tc>
          <w:tcPr>
            <w:tcW w:w="420" w:type="dxa"/>
          </w:tcPr>
          <w:p>
            <w:pPr>
              <w:pStyle w:val="TableParagraph"/>
              <w:spacing w:line="249" w:lineRule="auto" w:before="134"/>
              <w:ind w:left="122" w:right="105"/>
              <w:rPr>
                <w:sz w:val="18"/>
              </w:rPr>
            </w:pPr>
            <w:r>
              <w:rPr>
                <w:sz w:val="18"/>
              </w:rPr>
              <w:t>故障</w:t>
            </w:r>
          </w:p>
        </w:tc>
        <w:tc>
          <w:tcPr>
            <w:tcW w:w="1071" w:type="dxa"/>
          </w:tcPr>
          <w:p>
            <w:pPr>
              <w:pStyle w:val="TableParagraph"/>
              <w:spacing w:line="240" w:lineRule="atLeast" w:before="5"/>
              <w:ind w:left="177" w:right="161"/>
              <w:jc w:val="center"/>
              <w:rPr>
                <w:sz w:val="18"/>
              </w:rPr>
            </w:pPr>
            <w:r>
              <w:rPr>
                <w:sz w:val="18"/>
              </w:rPr>
              <w:t>故障原因及处理情况</w:t>
            </w:r>
          </w:p>
        </w:tc>
      </w:tr>
      <w:tr>
        <w:trPr>
          <w:trHeight w:val="1437" w:hRule="atLeast"/>
        </w:trPr>
        <w:tc>
          <w:tcPr>
            <w:tcW w:w="938" w:type="dxa"/>
          </w:tcPr>
          <w:p>
            <w:pPr>
              <w:pStyle w:val="TableParagraph"/>
              <w:rPr>
                <w:rFonts w:ascii="仿宋"/>
                <w:sz w:val="18"/>
              </w:rPr>
            </w:pPr>
          </w:p>
          <w:p>
            <w:pPr>
              <w:pStyle w:val="TableParagraph"/>
              <w:spacing w:before="1"/>
              <w:rPr>
                <w:rFonts w:ascii="仿宋"/>
                <w:sz w:val="20"/>
              </w:rPr>
            </w:pPr>
          </w:p>
          <w:p>
            <w:pPr>
              <w:pStyle w:val="TableParagraph"/>
              <w:spacing w:line="249" w:lineRule="auto" w:before="1"/>
              <w:ind w:left="110" w:right="95"/>
              <w:rPr>
                <w:sz w:val="18"/>
              </w:rPr>
            </w:pPr>
            <w:r>
              <w:rPr>
                <w:sz w:val="18"/>
              </w:rPr>
              <w:t>火灾自动报警系统</w:t>
            </w:r>
          </w:p>
        </w:tc>
        <w:tc>
          <w:tcPr>
            <w:tcW w:w="555" w:type="dxa"/>
          </w:tcPr>
          <w:p>
            <w:pPr>
              <w:pStyle w:val="TableParagraph"/>
              <w:rPr>
                <w:rFonts w:ascii="Times New Roman"/>
                <w:sz w:val="18"/>
              </w:rPr>
            </w:pPr>
          </w:p>
        </w:tc>
        <w:tc>
          <w:tcPr>
            <w:tcW w:w="3109" w:type="dxa"/>
          </w:tcPr>
          <w:p>
            <w:pPr>
              <w:pStyle w:val="TableParagraph"/>
              <w:spacing w:line="249" w:lineRule="auto" w:before="9"/>
              <w:ind w:left="108" w:right="96"/>
              <w:jc w:val="both"/>
              <w:rPr>
                <w:sz w:val="18"/>
              </w:rPr>
            </w:pPr>
            <w:r>
              <w:rPr>
                <w:sz w:val="18"/>
              </w:rPr>
              <w:t>1、火灾报警探测器外观；2</w:t>
            </w:r>
            <w:r>
              <w:rPr>
                <w:spacing w:val="-2"/>
                <w:sz w:val="18"/>
              </w:rPr>
              <w:t>、区域显示器运行状况、CRT</w:t>
            </w:r>
            <w:r>
              <w:rPr>
                <w:spacing w:val="-8"/>
                <w:sz w:val="18"/>
              </w:rPr>
              <w:t> 图形显示器运行状况、火灾报警控制器、消防联动控</w:t>
            </w:r>
            <w:r>
              <w:rPr>
                <w:spacing w:val="-11"/>
                <w:sz w:val="18"/>
              </w:rPr>
              <w:t>制器外观和运行状况；</w:t>
            </w:r>
            <w:r>
              <w:rPr>
                <w:spacing w:val="-19"/>
                <w:sz w:val="18"/>
              </w:rPr>
              <w:t>3</w:t>
            </w:r>
            <w:r>
              <w:rPr>
                <w:spacing w:val="-7"/>
                <w:sz w:val="18"/>
              </w:rPr>
              <w:t>、手动报警按</w:t>
            </w:r>
            <w:r>
              <w:rPr>
                <w:sz w:val="18"/>
              </w:rPr>
              <w:t>钮外观;4、火灾警报装置外观;5、消</w:t>
            </w:r>
          </w:p>
          <w:p>
            <w:pPr>
              <w:pStyle w:val="TableParagraph"/>
              <w:spacing w:line="208" w:lineRule="exact" w:before="1"/>
              <w:ind w:left="108"/>
              <w:rPr>
                <w:sz w:val="18"/>
              </w:rPr>
            </w:pPr>
            <w:r>
              <w:rPr>
                <w:sz w:val="18"/>
              </w:rPr>
              <w:t>防控制室工作环境。</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719" w:hRule="atLeast"/>
        </w:trPr>
        <w:tc>
          <w:tcPr>
            <w:tcW w:w="938" w:type="dxa"/>
          </w:tcPr>
          <w:p>
            <w:pPr>
              <w:pStyle w:val="TableParagraph"/>
              <w:spacing w:line="249" w:lineRule="auto" w:before="132"/>
              <w:ind w:left="110" w:right="95"/>
              <w:rPr>
                <w:sz w:val="18"/>
              </w:rPr>
            </w:pPr>
            <w:r>
              <w:rPr>
                <w:sz w:val="18"/>
              </w:rPr>
              <w:t>自动喷水灭火系统</w:t>
            </w:r>
          </w:p>
        </w:tc>
        <w:tc>
          <w:tcPr>
            <w:tcW w:w="555" w:type="dxa"/>
          </w:tcPr>
          <w:p>
            <w:pPr>
              <w:pStyle w:val="TableParagraph"/>
              <w:rPr>
                <w:rFonts w:ascii="Times New Roman"/>
                <w:sz w:val="18"/>
              </w:rPr>
            </w:pPr>
          </w:p>
        </w:tc>
        <w:tc>
          <w:tcPr>
            <w:tcW w:w="3109" w:type="dxa"/>
          </w:tcPr>
          <w:p>
            <w:pPr>
              <w:pStyle w:val="TableParagraph"/>
              <w:spacing w:line="240" w:lineRule="atLeast" w:before="2"/>
              <w:ind w:left="108" w:right="50"/>
              <w:rPr>
                <w:sz w:val="18"/>
              </w:rPr>
            </w:pPr>
            <w:r>
              <w:rPr>
                <w:spacing w:val="-6"/>
                <w:sz w:val="18"/>
              </w:rPr>
              <w:t>1</w:t>
            </w:r>
            <w:r>
              <w:rPr>
                <w:spacing w:val="-5"/>
                <w:sz w:val="18"/>
              </w:rPr>
              <w:t>、喷头外观；</w:t>
            </w:r>
            <w:r>
              <w:rPr>
                <w:spacing w:val="-6"/>
                <w:sz w:val="18"/>
              </w:rPr>
              <w:t>2</w:t>
            </w:r>
            <w:r>
              <w:rPr>
                <w:spacing w:val="-3"/>
                <w:sz w:val="18"/>
              </w:rPr>
              <w:t>、报警阀组外观；</w:t>
            </w:r>
            <w:r>
              <w:rPr>
                <w:sz w:val="18"/>
              </w:rPr>
              <w:t>3</w:t>
            </w:r>
            <w:r>
              <w:rPr>
                <w:spacing w:val="-12"/>
                <w:sz w:val="18"/>
              </w:rPr>
              <w:t>、</w:t>
            </w:r>
            <w:r>
              <w:rPr>
                <w:spacing w:val="-4"/>
                <w:sz w:val="18"/>
              </w:rPr>
              <w:t>末端试水装置压力值(不少于 </w:t>
            </w:r>
            <w:r>
              <w:rPr>
                <w:sz w:val="18"/>
              </w:rPr>
              <w:t>3</w:t>
            </w:r>
            <w:r>
              <w:rPr>
                <w:spacing w:val="-42"/>
                <w:sz w:val="18"/>
              </w:rPr>
              <w:t> 处，其</w:t>
            </w:r>
            <w:r>
              <w:rPr>
                <w:spacing w:val="-23"/>
                <w:sz w:val="18"/>
              </w:rPr>
              <w:t>中 </w:t>
            </w:r>
            <w:r>
              <w:rPr>
                <w:sz w:val="18"/>
              </w:rPr>
              <w:t>1</w:t>
            </w:r>
            <w:r>
              <w:rPr>
                <w:spacing w:val="-7"/>
                <w:sz w:val="18"/>
              </w:rPr>
              <w:t> 处为最不利点)。</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717" w:hRule="atLeast"/>
        </w:trPr>
        <w:tc>
          <w:tcPr>
            <w:tcW w:w="938" w:type="dxa"/>
          </w:tcPr>
          <w:p>
            <w:pPr>
              <w:pStyle w:val="TableParagraph"/>
              <w:spacing w:line="240" w:lineRule="atLeast"/>
              <w:ind w:left="110" w:right="94" w:firstLine="91"/>
              <w:rPr>
                <w:sz w:val="18"/>
              </w:rPr>
            </w:pPr>
            <w:r>
              <w:rPr>
                <w:sz w:val="18"/>
              </w:rPr>
              <w:t>消火栓 </w:t>
            </w:r>
            <w:r>
              <w:rPr>
                <w:spacing w:val="-4"/>
                <w:sz w:val="18"/>
              </w:rPr>
              <w:t>(消防炮) 灭火系统</w:t>
            </w:r>
          </w:p>
        </w:tc>
        <w:tc>
          <w:tcPr>
            <w:tcW w:w="555" w:type="dxa"/>
          </w:tcPr>
          <w:p>
            <w:pPr>
              <w:pStyle w:val="TableParagraph"/>
              <w:rPr>
                <w:rFonts w:ascii="Times New Roman"/>
                <w:sz w:val="18"/>
              </w:rPr>
            </w:pPr>
          </w:p>
        </w:tc>
        <w:tc>
          <w:tcPr>
            <w:tcW w:w="3109" w:type="dxa"/>
          </w:tcPr>
          <w:p>
            <w:pPr>
              <w:pStyle w:val="TableParagraph"/>
              <w:spacing w:line="240" w:lineRule="atLeast"/>
              <w:ind w:left="108" w:right="106"/>
              <w:jc w:val="both"/>
              <w:rPr>
                <w:sz w:val="18"/>
              </w:rPr>
            </w:pPr>
            <w:r>
              <w:rPr>
                <w:sz w:val="18"/>
              </w:rPr>
              <w:t>1、室内外消火栓外观；2、消防炮外观；3、启泵按钮外观；4、组件完好情况。</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1437" w:hRule="atLeast"/>
        </w:trPr>
        <w:tc>
          <w:tcPr>
            <w:tcW w:w="938" w:type="dxa"/>
          </w:tcPr>
          <w:p>
            <w:pPr>
              <w:pStyle w:val="TableParagraph"/>
              <w:rPr>
                <w:rFonts w:ascii="仿宋"/>
                <w:sz w:val="18"/>
              </w:rPr>
            </w:pPr>
          </w:p>
          <w:p>
            <w:pPr>
              <w:pStyle w:val="TableParagraph"/>
              <w:spacing w:before="2"/>
              <w:rPr>
                <w:rFonts w:ascii="仿宋"/>
                <w:sz w:val="20"/>
              </w:rPr>
            </w:pPr>
          </w:p>
          <w:p>
            <w:pPr>
              <w:pStyle w:val="TableParagraph"/>
              <w:spacing w:line="249" w:lineRule="auto"/>
              <w:ind w:left="290" w:right="95" w:hanging="180"/>
              <w:rPr>
                <w:sz w:val="18"/>
              </w:rPr>
            </w:pPr>
            <w:r>
              <w:rPr>
                <w:sz w:val="18"/>
              </w:rPr>
              <w:t>消防供水设施</w:t>
            </w:r>
          </w:p>
        </w:tc>
        <w:tc>
          <w:tcPr>
            <w:tcW w:w="555" w:type="dxa"/>
          </w:tcPr>
          <w:p>
            <w:pPr>
              <w:pStyle w:val="TableParagraph"/>
              <w:rPr>
                <w:rFonts w:ascii="Times New Roman"/>
                <w:sz w:val="18"/>
              </w:rPr>
            </w:pPr>
          </w:p>
        </w:tc>
        <w:tc>
          <w:tcPr>
            <w:tcW w:w="3109" w:type="dxa"/>
          </w:tcPr>
          <w:p>
            <w:pPr>
              <w:pStyle w:val="TableParagraph"/>
              <w:spacing w:line="249" w:lineRule="auto" w:before="9"/>
              <w:ind w:left="108" w:right="53"/>
              <w:jc w:val="both"/>
              <w:rPr>
                <w:sz w:val="18"/>
              </w:rPr>
            </w:pPr>
            <w:r>
              <w:rPr>
                <w:sz w:val="18"/>
              </w:rPr>
              <w:t>1、消防水池外观、水量；2</w:t>
            </w:r>
            <w:r>
              <w:rPr>
                <w:spacing w:val="-2"/>
                <w:sz w:val="18"/>
              </w:rPr>
              <w:t>、消防水</w:t>
            </w:r>
            <w:r>
              <w:rPr>
                <w:spacing w:val="-10"/>
                <w:sz w:val="18"/>
              </w:rPr>
              <w:t>箱外观、水量；</w:t>
            </w:r>
            <w:r>
              <w:rPr>
                <w:spacing w:val="-13"/>
                <w:sz w:val="18"/>
              </w:rPr>
              <w:t>3</w:t>
            </w:r>
            <w:r>
              <w:rPr>
                <w:spacing w:val="-4"/>
                <w:sz w:val="18"/>
              </w:rPr>
              <w:t>、消防水泵及控制柜</w:t>
            </w:r>
            <w:r>
              <w:rPr>
                <w:spacing w:val="-7"/>
                <w:sz w:val="18"/>
              </w:rPr>
              <w:t>工作状态；</w:t>
            </w:r>
            <w:r>
              <w:rPr>
                <w:spacing w:val="-10"/>
                <w:sz w:val="18"/>
              </w:rPr>
              <w:t>4</w:t>
            </w:r>
            <w:r>
              <w:rPr>
                <w:spacing w:val="-8"/>
                <w:sz w:val="18"/>
              </w:rPr>
              <w:t>、稳压泵、增压泵、气压</w:t>
            </w:r>
            <w:r>
              <w:rPr>
                <w:spacing w:val="-10"/>
                <w:sz w:val="18"/>
              </w:rPr>
              <w:t>水罐工作状态；</w:t>
            </w:r>
            <w:r>
              <w:rPr>
                <w:spacing w:val="-13"/>
                <w:sz w:val="18"/>
              </w:rPr>
              <w:t>5</w:t>
            </w:r>
            <w:r>
              <w:rPr>
                <w:spacing w:val="-5"/>
                <w:sz w:val="18"/>
              </w:rPr>
              <w:t>、水泵接合器外观、</w:t>
            </w:r>
            <w:r>
              <w:rPr>
                <w:spacing w:val="-15"/>
                <w:sz w:val="18"/>
              </w:rPr>
              <w:t>标识；</w:t>
            </w:r>
            <w:r>
              <w:rPr>
                <w:spacing w:val="-22"/>
                <w:sz w:val="18"/>
              </w:rPr>
              <w:t>6</w:t>
            </w:r>
            <w:r>
              <w:rPr>
                <w:spacing w:val="-8"/>
                <w:sz w:val="18"/>
              </w:rPr>
              <w:t>、管网控制阀门启闭状态；</w:t>
            </w:r>
            <w:r>
              <w:rPr>
                <w:spacing w:val="-10"/>
                <w:sz w:val="18"/>
              </w:rPr>
              <w:t>7</w:t>
            </w:r>
            <w:r>
              <w:rPr>
                <w:spacing w:val="-15"/>
                <w:sz w:val="18"/>
              </w:rPr>
              <w:t>、</w:t>
            </w:r>
          </w:p>
          <w:p>
            <w:pPr>
              <w:pStyle w:val="TableParagraph"/>
              <w:spacing w:line="208" w:lineRule="exact" w:before="1"/>
              <w:ind w:left="108"/>
              <w:rPr>
                <w:sz w:val="18"/>
              </w:rPr>
            </w:pPr>
            <w:r>
              <w:rPr>
                <w:sz w:val="18"/>
              </w:rPr>
              <w:t>泵房工作环境。</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1199" w:hRule="atLeast"/>
        </w:trPr>
        <w:tc>
          <w:tcPr>
            <w:tcW w:w="938" w:type="dxa"/>
          </w:tcPr>
          <w:p>
            <w:pPr>
              <w:pStyle w:val="TableParagraph"/>
              <w:rPr>
                <w:rFonts w:ascii="仿宋"/>
                <w:sz w:val="18"/>
              </w:rPr>
            </w:pPr>
          </w:p>
          <w:p>
            <w:pPr>
              <w:pStyle w:val="TableParagraph"/>
              <w:spacing w:line="249" w:lineRule="auto" w:before="141"/>
              <w:ind w:left="290" w:right="95" w:hanging="180"/>
              <w:rPr>
                <w:sz w:val="18"/>
              </w:rPr>
            </w:pPr>
            <w:r>
              <w:rPr>
                <w:sz w:val="18"/>
              </w:rPr>
              <w:t>防烟排烟系统</w:t>
            </w:r>
          </w:p>
        </w:tc>
        <w:tc>
          <w:tcPr>
            <w:tcW w:w="555" w:type="dxa"/>
          </w:tcPr>
          <w:p>
            <w:pPr>
              <w:pStyle w:val="TableParagraph"/>
              <w:rPr>
                <w:rFonts w:ascii="Times New Roman"/>
                <w:sz w:val="18"/>
              </w:rPr>
            </w:pPr>
          </w:p>
        </w:tc>
        <w:tc>
          <w:tcPr>
            <w:tcW w:w="3109" w:type="dxa"/>
          </w:tcPr>
          <w:p>
            <w:pPr>
              <w:pStyle w:val="TableParagraph"/>
              <w:spacing w:line="240" w:lineRule="atLeast" w:before="2"/>
              <w:ind w:left="108" w:right="50"/>
              <w:rPr>
                <w:sz w:val="18"/>
              </w:rPr>
            </w:pPr>
            <w:r>
              <w:rPr>
                <w:spacing w:val="-26"/>
                <w:sz w:val="18"/>
              </w:rPr>
              <w:t>1</w:t>
            </w:r>
            <w:r>
              <w:rPr>
                <w:spacing w:val="-9"/>
                <w:sz w:val="18"/>
              </w:rPr>
              <w:t>、挡烟垂壁外观</w:t>
            </w:r>
            <w:r>
              <w:rPr>
                <w:spacing w:val="-26"/>
                <w:sz w:val="18"/>
              </w:rPr>
              <w:t>；2</w:t>
            </w:r>
            <w:r>
              <w:rPr>
                <w:spacing w:val="-12"/>
                <w:sz w:val="18"/>
              </w:rPr>
              <w:t>、送风阀外观；</w:t>
            </w:r>
            <w:r>
              <w:rPr>
                <w:spacing w:val="-17"/>
                <w:sz w:val="18"/>
              </w:rPr>
              <w:t>3</w:t>
            </w:r>
            <w:r>
              <w:rPr>
                <w:spacing w:val="-12"/>
                <w:sz w:val="18"/>
              </w:rPr>
              <w:t>、</w:t>
            </w:r>
            <w:r>
              <w:rPr>
                <w:spacing w:val="-7"/>
                <w:sz w:val="18"/>
              </w:rPr>
              <w:t>送风机工作状态；</w:t>
            </w:r>
            <w:r>
              <w:rPr>
                <w:spacing w:val="-22"/>
                <w:sz w:val="18"/>
              </w:rPr>
              <w:t>4</w:t>
            </w:r>
            <w:r>
              <w:rPr>
                <w:spacing w:val="-9"/>
                <w:sz w:val="18"/>
              </w:rPr>
              <w:t>、排烟阀外观；</w:t>
            </w:r>
            <w:r>
              <w:rPr>
                <w:spacing w:val="-11"/>
                <w:sz w:val="18"/>
              </w:rPr>
              <w:t>5、</w:t>
            </w:r>
            <w:r>
              <w:rPr>
                <w:sz w:val="18"/>
              </w:rPr>
              <w:t>电动排烟窗外观；6、自然排烟窗外观；7、排烟机工作状态；8</w:t>
            </w:r>
            <w:r>
              <w:rPr>
                <w:spacing w:val="-2"/>
                <w:sz w:val="18"/>
              </w:rPr>
              <w:t>、送风、排烟机房环境。</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720" w:hRule="atLeast"/>
        </w:trPr>
        <w:tc>
          <w:tcPr>
            <w:tcW w:w="938" w:type="dxa"/>
          </w:tcPr>
          <w:p>
            <w:pPr>
              <w:pStyle w:val="TableParagraph"/>
              <w:spacing w:line="249" w:lineRule="auto" w:before="132"/>
              <w:ind w:left="290" w:right="95" w:hanging="180"/>
              <w:rPr>
                <w:sz w:val="18"/>
              </w:rPr>
            </w:pPr>
            <w:r>
              <w:rPr>
                <w:sz w:val="18"/>
              </w:rPr>
              <w:t>防火分隔设施</w:t>
            </w:r>
          </w:p>
        </w:tc>
        <w:tc>
          <w:tcPr>
            <w:tcW w:w="555" w:type="dxa"/>
          </w:tcPr>
          <w:p>
            <w:pPr>
              <w:pStyle w:val="TableParagraph"/>
              <w:rPr>
                <w:rFonts w:ascii="Times New Roman"/>
                <w:sz w:val="18"/>
              </w:rPr>
            </w:pPr>
          </w:p>
        </w:tc>
        <w:tc>
          <w:tcPr>
            <w:tcW w:w="3109" w:type="dxa"/>
          </w:tcPr>
          <w:p>
            <w:pPr>
              <w:pStyle w:val="TableParagraph"/>
              <w:spacing w:before="12"/>
              <w:ind w:left="108"/>
              <w:rPr>
                <w:sz w:val="18"/>
              </w:rPr>
            </w:pPr>
            <w:r>
              <w:rPr>
                <w:spacing w:val="-21"/>
                <w:sz w:val="18"/>
              </w:rPr>
              <w:t>1</w:t>
            </w:r>
            <w:r>
              <w:rPr>
                <w:spacing w:val="-10"/>
                <w:sz w:val="18"/>
              </w:rPr>
              <w:t>、防火门外观；</w:t>
            </w:r>
            <w:r>
              <w:rPr>
                <w:spacing w:val="-22"/>
                <w:sz w:val="18"/>
              </w:rPr>
              <w:t>2</w:t>
            </w:r>
            <w:r>
              <w:rPr>
                <w:spacing w:val="-5"/>
                <w:sz w:val="18"/>
              </w:rPr>
              <w:t>、防火门启闭状况；</w:t>
            </w:r>
          </w:p>
          <w:p>
            <w:pPr>
              <w:pStyle w:val="TableParagraph"/>
              <w:spacing w:line="240" w:lineRule="atLeast"/>
              <w:ind w:left="108" w:right="108"/>
              <w:rPr>
                <w:sz w:val="18"/>
              </w:rPr>
            </w:pPr>
            <w:r>
              <w:rPr>
                <w:sz w:val="18"/>
              </w:rPr>
              <w:t>3、防火卷帘外观；4、防火卷帘工作状态。</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717" w:hRule="atLeast"/>
        </w:trPr>
        <w:tc>
          <w:tcPr>
            <w:tcW w:w="938" w:type="dxa"/>
          </w:tcPr>
          <w:p>
            <w:pPr>
              <w:pStyle w:val="TableParagraph"/>
              <w:spacing w:line="240" w:lineRule="atLeast"/>
              <w:ind w:left="110" w:right="95"/>
              <w:jc w:val="both"/>
              <w:rPr>
                <w:sz w:val="18"/>
              </w:rPr>
            </w:pPr>
            <w:r>
              <w:rPr>
                <w:sz w:val="18"/>
              </w:rPr>
              <w:t>应急照明和疏散指示标志</w:t>
            </w:r>
          </w:p>
        </w:tc>
        <w:tc>
          <w:tcPr>
            <w:tcW w:w="555" w:type="dxa"/>
          </w:tcPr>
          <w:p>
            <w:pPr>
              <w:pStyle w:val="TableParagraph"/>
              <w:rPr>
                <w:rFonts w:ascii="Times New Roman"/>
                <w:sz w:val="18"/>
              </w:rPr>
            </w:pPr>
          </w:p>
        </w:tc>
        <w:tc>
          <w:tcPr>
            <w:tcW w:w="3109" w:type="dxa"/>
          </w:tcPr>
          <w:p>
            <w:pPr>
              <w:pStyle w:val="TableParagraph"/>
              <w:spacing w:before="9"/>
              <w:ind w:left="108"/>
              <w:rPr>
                <w:sz w:val="18"/>
              </w:rPr>
            </w:pPr>
            <w:r>
              <w:rPr>
                <w:spacing w:val="-21"/>
                <w:sz w:val="18"/>
              </w:rPr>
              <w:t>1</w:t>
            </w:r>
            <w:r>
              <w:rPr>
                <w:spacing w:val="-10"/>
                <w:sz w:val="18"/>
              </w:rPr>
              <w:t>、应急灯外观；</w:t>
            </w:r>
            <w:r>
              <w:rPr>
                <w:spacing w:val="-22"/>
                <w:sz w:val="18"/>
              </w:rPr>
              <w:t>2</w:t>
            </w:r>
            <w:r>
              <w:rPr>
                <w:spacing w:val="-5"/>
                <w:sz w:val="18"/>
              </w:rPr>
              <w:t>、应急灯工作状态；</w:t>
            </w:r>
          </w:p>
          <w:p>
            <w:pPr>
              <w:pStyle w:val="TableParagraph"/>
              <w:spacing w:line="240" w:lineRule="atLeast"/>
              <w:ind w:left="108" w:right="108"/>
              <w:rPr>
                <w:sz w:val="18"/>
              </w:rPr>
            </w:pPr>
            <w:r>
              <w:rPr>
                <w:sz w:val="18"/>
              </w:rPr>
              <w:t>3、疏散指示标志外观；4、疏散指示标志工作状态。</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476" w:hRule="atLeast"/>
        </w:trPr>
        <w:tc>
          <w:tcPr>
            <w:tcW w:w="938" w:type="dxa"/>
          </w:tcPr>
          <w:p>
            <w:pPr>
              <w:pStyle w:val="TableParagraph"/>
              <w:spacing w:before="129"/>
              <w:ind w:left="110"/>
              <w:rPr>
                <w:sz w:val="18"/>
              </w:rPr>
            </w:pPr>
            <w:r>
              <w:rPr>
                <w:sz w:val="18"/>
              </w:rPr>
              <w:t>消防电梯</w:t>
            </w:r>
          </w:p>
        </w:tc>
        <w:tc>
          <w:tcPr>
            <w:tcW w:w="555" w:type="dxa"/>
          </w:tcPr>
          <w:p>
            <w:pPr>
              <w:pStyle w:val="TableParagraph"/>
              <w:rPr>
                <w:rFonts w:ascii="Times New Roman"/>
                <w:sz w:val="18"/>
              </w:rPr>
            </w:pPr>
          </w:p>
        </w:tc>
        <w:tc>
          <w:tcPr>
            <w:tcW w:w="3109" w:type="dxa"/>
          </w:tcPr>
          <w:p>
            <w:pPr>
              <w:pStyle w:val="TableParagraph"/>
              <w:spacing w:before="9"/>
              <w:ind w:left="108"/>
              <w:rPr>
                <w:sz w:val="18"/>
              </w:rPr>
            </w:pPr>
            <w:r>
              <w:rPr>
                <w:sz w:val="18"/>
              </w:rPr>
              <w:t>1、紧急按钮外观；2、轿厢内电话外</w:t>
            </w:r>
          </w:p>
          <w:p>
            <w:pPr>
              <w:pStyle w:val="TableParagraph"/>
              <w:spacing w:line="208" w:lineRule="exact" w:before="9"/>
              <w:ind w:left="108"/>
              <w:rPr>
                <w:sz w:val="18"/>
              </w:rPr>
            </w:pPr>
            <w:r>
              <w:rPr>
                <w:sz w:val="18"/>
              </w:rPr>
              <w:t>观；3、消防电梯工作状态</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bl>
    <w:p>
      <w:pPr>
        <w:spacing w:after="0"/>
        <w:rPr>
          <w:rFonts w:ascii="Times New Roman"/>
          <w:sz w:val="18"/>
        </w:rPr>
        <w:sectPr>
          <w:pgSz w:w="8400" w:h="11910"/>
          <w:pgMar w:header="0" w:footer="834" w:top="980" w:bottom="1020" w:left="720" w:right="720"/>
        </w:sect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555"/>
        <w:gridCol w:w="3109"/>
        <w:gridCol w:w="430"/>
        <w:gridCol w:w="420"/>
        <w:gridCol w:w="1071"/>
      </w:tblGrid>
      <w:tr>
        <w:trPr>
          <w:trHeight w:val="722" w:hRule="atLeast"/>
        </w:trPr>
        <w:tc>
          <w:tcPr>
            <w:tcW w:w="938" w:type="dxa"/>
          </w:tcPr>
          <w:p>
            <w:pPr>
              <w:pStyle w:val="TableParagraph"/>
              <w:spacing w:line="249" w:lineRule="auto" w:before="128"/>
              <w:ind w:left="201" w:right="95" w:hanging="92"/>
              <w:rPr>
                <w:sz w:val="18"/>
              </w:rPr>
            </w:pPr>
            <w:r>
              <w:rPr>
                <w:sz w:val="18"/>
              </w:rPr>
              <w:t>消防供配电设施</w:t>
            </w:r>
          </w:p>
        </w:tc>
        <w:tc>
          <w:tcPr>
            <w:tcW w:w="555" w:type="dxa"/>
          </w:tcPr>
          <w:p>
            <w:pPr>
              <w:pStyle w:val="TableParagraph"/>
              <w:rPr>
                <w:rFonts w:ascii="Times New Roman"/>
                <w:sz w:val="18"/>
              </w:rPr>
            </w:pPr>
          </w:p>
        </w:tc>
        <w:tc>
          <w:tcPr>
            <w:tcW w:w="3109" w:type="dxa"/>
          </w:tcPr>
          <w:p>
            <w:pPr>
              <w:pStyle w:val="TableParagraph"/>
              <w:spacing w:before="8"/>
              <w:ind w:left="108"/>
              <w:rPr>
                <w:sz w:val="18"/>
              </w:rPr>
            </w:pPr>
            <w:r>
              <w:rPr>
                <w:sz w:val="18"/>
              </w:rPr>
              <w:t>1、消防电源工作状态；2、自备发电</w:t>
            </w:r>
          </w:p>
          <w:p>
            <w:pPr>
              <w:pStyle w:val="TableParagraph"/>
              <w:spacing w:line="240" w:lineRule="atLeast"/>
              <w:ind w:left="108" w:right="18"/>
              <w:rPr>
                <w:sz w:val="18"/>
              </w:rPr>
            </w:pPr>
            <w:r>
              <w:rPr>
                <w:sz w:val="18"/>
              </w:rPr>
              <w:t>机状况；3、消防配电房、发电机房环境。</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1439" w:hRule="atLeast"/>
        </w:trPr>
        <w:tc>
          <w:tcPr>
            <w:tcW w:w="938" w:type="dxa"/>
          </w:tcPr>
          <w:p>
            <w:pPr>
              <w:pStyle w:val="TableParagraph"/>
              <w:rPr>
                <w:rFonts w:ascii="仿宋"/>
                <w:sz w:val="18"/>
              </w:rPr>
            </w:pPr>
          </w:p>
          <w:p>
            <w:pPr>
              <w:pStyle w:val="TableParagraph"/>
              <w:spacing w:line="249" w:lineRule="auto" w:before="134"/>
              <w:ind w:left="290" w:right="275"/>
              <w:jc w:val="both"/>
              <w:rPr>
                <w:sz w:val="18"/>
              </w:rPr>
            </w:pPr>
            <w:r>
              <w:rPr>
                <w:sz w:val="18"/>
              </w:rPr>
              <w:t>气体灭火系统</w:t>
            </w:r>
          </w:p>
        </w:tc>
        <w:tc>
          <w:tcPr>
            <w:tcW w:w="555" w:type="dxa"/>
          </w:tcPr>
          <w:p>
            <w:pPr>
              <w:pStyle w:val="TableParagraph"/>
              <w:rPr>
                <w:rFonts w:ascii="Times New Roman"/>
                <w:sz w:val="18"/>
              </w:rPr>
            </w:pPr>
          </w:p>
        </w:tc>
        <w:tc>
          <w:tcPr>
            <w:tcW w:w="3109" w:type="dxa"/>
          </w:tcPr>
          <w:p>
            <w:pPr>
              <w:pStyle w:val="TableParagraph"/>
              <w:spacing w:line="249" w:lineRule="auto" w:before="5"/>
              <w:ind w:left="108" w:right="55"/>
              <w:jc w:val="both"/>
              <w:rPr>
                <w:sz w:val="18"/>
              </w:rPr>
            </w:pPr>
            <w:r>
              <w:rPr>
                <w:sz w:val="18"/>
              </w:rPr>
              <w:t>1、气体灭火控制器工作状态；2、储</w:t>
            </w:r>
            <w:r>
              <w:rPr>
                <w:spacing w:val="-6"/>
                <w:sz w:val="18"/>
              </w:rPr>
              <w:t>瓶间环境；</w:t>
            </w:r>
            <w:r>
              <w:rPr>
                <w:spacing w:val="-13"/>
                <w:sz w:val="18"/>
              </w:rPr>
              <w:t>3</w:t>
            </w:r>
            <w:r>
              <w:rPr>
                <w:spacing w:val="-5"/>
                <w:sz w:val="18"/>
              </w:rPr>
              <w:t>、气体瓶组或储罐外观； </w:t>
            </w:r>
            <w:r>
              <w:rPr>
                <w:sz w:val="18"/>
              </w:rPr>
              <w:t>4</w:t>
            </w:r>
            <w:r>
              <w:rPr>
                <w:spacing w:val="-3"/>
                <w:sz w:val="18"/>
              </w:rPr>
              <w:t>、选择阀、驱动装置等组件外观 </w:t>
            </w:r>
            <w:r>
              <w:rPr>
                <w:sz w:val="18"/>
              </w:rPr>
              <w:t>5</w:t>
            </w:r>
            <w:r>
              <w:rPr>
                <w:spacing w:val="-12"/>
                <w:sz w:val="18"/>
              </w:rPr>
              <w:t>、</w:t>
            </w:r>
            <w:r>
              <w:rPr>
                <w:sz w:val="18"/>
              </w:rPr>
              <w:t>紧急启/停按钮外观；6</w:t>
            </w:r>
            <w:r>
              <w:rPr>
                <w:spacing w:val="-1"/>
                <w:sz w:val="18"/>
              </w:rPr>
              <w:t>、放气指示灯</w:t>
            </w:r>
            <w:r>
              <w:rPr>
                <w:spacing w:val="-8"/>
                <w:sz w:val="18"/>
              </w:rPr>
              <w:t>及警报器外观 </w:t>
            </w:r>
            <w:r>
              <w:rPr>
                <w:spacing w:val="-4"/>
                <w:sz w:val="18"/>
              </w:rPr>
              <w:t>7</w:t>
            </w:r>
            <w:r>
              <w:rPr>
                <w:spacing w:val="-5"/>
                <w:sz w:val="18"/>
              </w:rPr>
              <w:t>、喷嘴外观；</w:t>
            </w:r>
            <w:r>
              <w:rPr>
                <w:spacing w:val="-6"/>
                <w:sz w:val="18"/>
              </w:rPr>
              <w:t>8</w:t>
            </w:r>
            <w:r>
              <w:rPr>
                <w:spacing w:val="-2"/>
                <w:sz w:val="18"/>
              </w:rPr>
              <w:t>、防护</w:t>
            </w:r>
          </w:p>
          <w:p>
            <w:pPr>
              <w:pStyle w:val="TableParagraph"/>
              <w:spacing w:line="214" w:lineRule="exact" w:before="1"/>
              <w:ind w:left="108"/>
              <w:rPr>
                <w:sz w:val="18"/>
              </w:rPr>
            </w:pPr>
            <w:r>
              <w:rPr>
                <w:sz w:val="18"/>
              </w:rPr>
              <w:t>区状况。</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1200" w:hRule="atLeast"/>
        </w:trPr>
        <w:tc>
          <w:tcPr>
            <w:tcW w:w="938" w:type="dxa"/>
          </w:tcPr>
          <w:p>
            <w:pPr>
              <w:pStyle w:val="TableParagraph"/>
              <w:spacing w:before="1"/>
              <w:rPr>
                <w:rFonts w:ascii="仿宋"/>
                <w:sz w:val="19"/>
              </w:rPr>
            </w:pPr>
          </w:p>
          <w:p>
            <w:pPr>
              <w:pStyle w:val="TableParagraph"/>
              <w:spacing w:line="249" w:lineRule="auto" w:before="1"/>
              <w:ind w:left="290" w:right="275"/>
              <w:jc w:val="both"/>
              <w:rPr>
                <w:sz w:val="18"/>
              </w:rPr>
            </w:pPr>
            <w:r>
              <w:rPr>
                <w:sz w:val="18"/>
              </w:rPr>
              <w:t>泡沫灭火系统</w:t>
            </w:r>
          </w:p>
        </w:tc>
        <w:tc>
          <w:tcPr>
            <w:tcW w:w="555" w:type="dxa"/>
          </w:tcPr>
          <w:p>
            <w:pPr>
              <w:pStyle w:val="TableParagraph"/>
              <w:rPr>
                <w:rFonts w:ascii="Times New Roman"/>
                <w:sz w:val="18"/>
              </w:rPr>
            </w:pPr>
          </w:p>
        </w:tc>
        <w:tc>
          <w:tcPr>
            <w:tcW w:w="3109" w:type="dxa"/>
          </w:tcPr>
          <w:p>
            <w:pPr>
              <w:pStyle w:val="TableParagraph"/>
              <w:spacing w:line="249" w:lineRule="auto" w:before="5"/>
              <w:ind w:left="108" w:right="54"/>
              <w:jc w:val="both"/>
              <w:rPr>
                <w:sz w:val="18"/>
              </w:rPr>
            </w:pPr>
            <w:r>
              <w:rPr>
                <w:sz w:val="18"/>
              </w:rPr>
              <w:t>1、泡沫喷头外观；2</w:t>
            </w:r>
            <w:r>
              <w:rPr>
                <w:spacing w:val="-1"/>
                <w:sz w:val="18"/>
              </w:rPr>
              <w:t>、泡沫消火栓外观；3、泡沫炮外观；4</w:t>
            </w:r>
            <w:r>
              <w:rPr>
                <w:spacing w:val="-2"/>
                <w:sz w:val="18"/>
              </w:rPr>
              <w:t>、泡沫产生器外观；5、泡沫液贮罐间环境；6、泡</w:t>
            </w:r>
            <w:r>
              <w:rPr>
                <w:spacing w:val="-6"/>
                <w:sz w:val="18"/>
              </w:rPr>
              <w:t>沫液贮罐外观；</w:t>
            </w:r>
            <w:r>
              <w:rPr>
                <w:spacing w:val="-13"/>
                <w:sz w:val="18"/>
              </w:rPr>
              <w:t>7</w:t>
            </w:r>
            <w:r>
              <w:rPr>
                <w:spacing w:val="-6"/>
                <w:sz w:val="18"/>
              </w:rPr>
              <w:t>、比例混合器外观；</w:t>
            </w:r>
          </w:p>
          <w:p>
            <w:pPr>
              <w:pStyle w:val="TableParagraph"/>
              <w:spacing w:line="214" w:lineRule="exact" w:before="1"/>
              <w:ind w:left="108"/>
              <w:rPr>
                <w:sz w:val="18"/>
              </w:rPr>
            </w:pPr>
            <w:r>
              <w:rPr>
                <w:sz w:val="18"/>
              </w:rPr>
              <w:t>8、泡沫泵工作状态。</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479" w:hRule="atLeast"/>
        </w:trPr>
        <w:tc>
          <w:tcPr>
            <w:tcW w:w="938" w:type="dxa"/>
          </w:tcPr>
          <w:p>
            <w:pPr>
              <w:pStyle w:val="TableParagraph"/>
              <w:spacing w:before="5"/>
              <w:ind w:left="90" w:right="78"/>
              <w:jc w:val="center"/>
              <w:rPr>
                <w:sz w:val="18"/>
              </w:rPr>
            </w:pPr>
            <w:r>
              <w:rPr>
                <w:sz w:val="18"/>
              </w:rPr>
              <w:t>应急广播</w:t>
            </w:r>
          </w:p>
          <w:p>
            <w:pPr>
              <w:pStyle w:val="TableParagraph"/>
              <w:spacing w:line="214" w:lineRule="exact" w:before="9"/>
              <w:ind w:left="90" w:right="78"/>
              <w:jc w:val="center"/>
              <w:rPr>
                <w:sz w:val="18"/>
              </w:rPr>
            </w:pPr>
            <w:r>
              <w:rPr>
                <w:sz w:val="18"/>
              </w:rPr>
              <w:t>系统</w:t>
            </w:r>
          </w:p>
        </w:tc>
        <w:tc>
          <w:tcPr>
            <w:tcW w:w="555" w:type="dxa"/>
          </w:tcPr>
          <w:p>
            <w:pPr>
              <w:pStyle w:val="TableParagraph"/>
              <w:rPr>
                <w:rFonts w:ascii="Times New Roman"/>
                <w:sz w:val="18"/>
              </w:rPr>
            </w:pPr>
          </w:p>
        </w:tc>
        <w:tc>
          <w:tcPr>
            <w:tcW w:w="3109" w:type="dxa"/>
          </w:tcPr>
          <w:p>
            <w:pPr>
              <w:pStyle w:val="TableParagraph"/>
              <w:spacing w:before="125"/>
              <w:ind w:right="53"/>
              <w:jc w:val="right"/>
              <w:rPr>
                <w:sz w:val="18"/>
              </w:rPr>
            </w:pPr>
            <w:r>
              <w:rPr>
                <w:spacing w:val="-21"/>
                <w:sz w:val="18"/>
              </w:rPr>
              <w:t>1</w:t>
            </w:r>
            <w:r>
              <w:rPr>
                <w:spacing w:val="-10"/>
                <w:sz w:val="18"/>
              </w:rPr>
              <w:t>、扬声器外观；</w:t>
            </w:r>
            <w:r>
              <w:rPr>
                <w:spacing w:val="-22"/>
                <w:sz w:val="18"/>
              </w:rPr>
              <w:t>2</w:t>
            </w:r>
            <w:r>
              <w:rPr>
                <w:spacing w:val="-5"/>
                <w:sz w:val="18"/>
              </w:rPr>
              <w:t>、扩音机工作状态。</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479" w:hRule="atLeast"/>
        </w:trPr>
        <w:tc>
          <w:tcPr>
            <w:tcW w:w="938" w:type="dxa"/>
          </w:tcPr>
          <w:p>
            <w:pPr>
              <w:pStyle w:val="TableParagraph"/>
              <w:spacing w:before="5"/>
              <w:ind w:left="90" w:right="78"/>
              <w:jc w:val="center"/>
              <w:rPr>
                <w:sz w:val="18"/>
              </w:rPr>
            </w:pPr>
            <w:r>
              <w:rPr>
                <w:sz w:val="18"/>
              </w:rPr>
              <w:t>消防专用</w:t>
            </w:r>
          </w:p>
          <w:p>
            <w:pPr>
              <w:pStyle w:val="TableParagraph"/>
              <w:spacing w:line="214" w:lineRule="exact" w:before="9"/>
              <w:ind w:left="90" w:right="78"/>
              <w:jc w:val="center"/>
              <w:rPr>
                <w:sz w:val="18"/>
              </w:rPr>
            </w:pPr>
            <w:r>
              <w:rPr>
                <w:sz w:val="18"/>
              </w:rPr>
              <w:t>电话</w:t>
            </w:r>
          </w:p>
        </w:tc>
        <w:tc>
          <w:tcPr>
            <w:tcW w:w="555" w:type="dxa"/>
          </w:tcPr>
          <w:p>
            <w:pPr>
              <w:pStyle w:val="TableParagraph"/>
              <w:rPr>
                <w:rFonts w:ascii="Times New Roman"/>
                <w:sz w:val="18"/>
              </w:rPr>
            </w:pPr>
          </w:p>
        </w:tc>
        <w:tc>
          <w:tcPr>
            <w:tcW w:w="3109" w:type="dxa"/>
          </w:tcPr>
          <w:p>
            <w:pPr>
              <w:pStyle w:val="TableParagraph"/>
              <w:spacing w:before="125"/>
              <w:ind w:right="53"/>
              <w:jc w:val="right"/>
              <w:rPr>
                <w:sz w:val="18"/>
              </w:rPr>
            </w:pPr>
            <w:r>
              <w:rPr>
                <w:spacing w:val="-21"/>
                <w:sz w:val="18"/>
              </w:rPr>
              <w:t>1</w:t>
            </w:r>
            <w:r>
              <w:rPr>
                <w:spacing w:val="-10"/>
                <w:sz w:val="18"/>
              </w:rPr>
              <w:t>、分机电话外观；</w:t>
            </w:r>
            <w:r>
              <w:rPr>
                <w:spacing w:val="-22"/>
                <w:sz w:val="18"/>
              </w:rPr>
              <w:t>2</w:t>
            </w:r>
            <w:r>
              <w:rPr>
                <w:spacing w:val="-5"/>
                <w:sz w:val="18"/>
              </w:rPr>
              <w:t>、插孔电话外观。</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357" w:hRule="atLeast"/>
        </w:trPr>
        <w:tc>
          <w:tcPr>
            <w:tcW w:w="938" w:type="dxa"/>
          </w:tcPr>
          <w:p>
            <w:pPr>
              <w:pStyle w:val="TableParagraph"/>
              <w:spacing w:before="65"/>
              <w:ind w:left="90" w:right="76"/>
              <w:jc w:val="center"/>
              <w:rPr>
                <w:sz w:val="18"/>
              </w:rPr>
            </w:pPr>
            <w:r>
              <w:rPr>
                <w:sz w:val="18"/>
              </w:rPr>
              <w:t>灭火器</w:t>
            </w:r>
          </w:p>
        </w:tc>
        <w:tc>
          <w:tcPr>
            <w:tcW w:w="555" w:type="dxa"/>
          </w:tcPr>
          <w:p>
            <w:pPr>
              <w:pStyle w:val="TableParagraph"/>
              <w:rPr>
                <w:rFonts w:ascii="Times New Roman"/>
                <w:sz w:val="18"/>
              </w:rPr>
            </w:pPr>
          </w:p>
        </w:tc>
        <w:tc>
          <w:tcPr>
            <w:tcW w:w="3109" w:type="dxa"/>
          </w:tcPr>
          <w:p>
            <w:pPr>
              <w:pStyle w:val="TableParagraph"/>
              <w:spacing w:before="65"/>
              <w:ind w:right="108"/>
              <w:jc w:val="right"/>
              <w:rPr>
                <w:sz w:val="18"/>
              </w:rPr>
            </w:pPr>
            <w:r>
              <w:rPr>
                <w:sz w:val="18"/>
              </w:rPr>
              <w:t>1、灭火器外观；2、设置位置状况。</w:t>
            </w: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386" w:hRule="atLeast"/>
        </w:trPr>
        <w:tc>
          <w:tcPr>
            <w:tcW w:w="938" w:type="dxa"/>
          </w:tcPr>
          <w:p>
            <w:pPr>
              <w:pStyle w:val="TableParagraph"/>
              <w:spacing w:before="80"/>
              <w:ind w:left="90" w:right="78"/>
              <w:jc w:val="center"/>
              <w:rPr>
                <w:sz w:val="18"/>
              </w:rPr>
            </w:pPr>
            <w:r>
              <w:rPr>
                <w:sz w:val="18"/>
              </w:rPr>
              <w:t>其他设施</w:t>
            </w:r>
          </w:p>
        </w:tc>
        <w:tc>
          <w:tcPr>
            <w:tcW w:w="3664" w:type="dxa"/>
            <w:gridSpan w:val="2"/>
          </w:tcPr>
          <w:p>
            <w:pPr>
              <w:pStyle w:val="TableParagraph"/>
              <w:rPr>
                <w:rFonts w:ascii="Times New Roman"/>
                <w:sz w:val="18"/>
              </w:rPr>
            </w:pPr>
          </w:p>
        </w:tc>
        <w:tc>
          <w:tcPr>
            <w:tcW w:w="430" w:type="dxa"/>
          </w:tcPr>
          <w:p>
            <w:pPr>
              <w:pStyle w:val="TableParagraph"/>
              <w:rPr>
                <w:rFonts w:ascii="Times New Roman"/>
                <w:sz w:val="18"/>
              </w:rPr>
            </w:pPr>
          </w:p>
        </w:tc>
        <w:tc>
          <w:tcPr>
            <w:tcW w:w="420" w:type="dxa"/>
          </w:tcPr>
          <w:p>
            <w:pPr>
              <w:pStyle w:val="TableParagraph"/>
              <w:rPr>
                <w:rFonts w:ascii="Times New Roman"/>
                <w:sz w:val="18"/>
              </w:rPr>
            </w:pPr>
          </w:p>
        </w:tc>
        <w:tc>
          <w:tcPr>
            <w:tcW w:w="1071" w:type="dxa"/>
          </w:tcPr>
          <w:p>
            <w:pPr>
              <w:pStyle w:val="TableParagraph"/>
              <w:rPr>
                <w:rFonts w:ascii="Times New Roman"/>
                <w:sz w:val="18"/>
              </w:rPr>
            </w:pPr>
          </w:p>
        </w:tc>
      </w:tr>
      <w:tr>
        <w:trPr>
          <w:trHeight w:val="900" w:hRule="atLeast"/>
        </w:trPr>
        <w:tc>
          <w:tcPr>
            <w:tcW w:w="6523" w:type="dxa"/>
            <w:gridSpan w:val="6"/>
          </w:tcPr>
          <w:p>
            <w:pPr>
              <w:pStyle w:val="TableParagraph"/>
              <w:spacing w:before="96"/>
              <w:ind w:left="110"/>
              <w:rPr>
                <w:sz w:val="18"/>
              </w:rPr>
            </w:pPr>
            <w:r>
              <w:rPr>
                <w:sz w:val="18"/>
              </w:rPr>
              <w:t>巡查人(签名)：</w:t>
            </w:r>
          </w:p>
          <w:p>
            <w:pPr>
              <w:pStyle w:val="TableParagraph"/>
              <w:spacing w:before="6"/>
              <w:rPr>
                <w:rFonts w:ascii="仿宋"/>
                <w:sz w:val="19"/>
              </w:rPr>
            </w:pPr>
          </w:p>
          <w:p>
            <w:pPr>
              <w:pStyle w:val="TableParagraph"/>
              <w:tabs>
                <w:tab w:pos="5019" w:val="left" w:leader="none"/>
                <w:tab w:pos="5742" w:val="left" w:leader="none"/>
              </w:tabs>
              <w:spacing w:before="1"/>
              <w:ind w:left="4299"/>
              <w:rPr>
                <w:sz w:val="18"/>
              </w:rPr>
            </w:pPr>
            <w:r>
              <w:rPr>
                <w:sz w:val="18"/>
              </w:rPr>
              <w:t>年</w:t>
              <w:tab/>
              <w:t>月</w:t>
              <w:tab/>
              <w:t>日</w:t>
            </w:r>
          </w:p>
        </w:tc>
      </w:tr>
      <w:tr>
        <w:trPr>
          <w:trHeight w:val="942" w:hRule="atLeast"/>
        </w:trPr>
        <w:tc>
          <w:tcPr>
            <w:tcW w:w="6523" w:type="dxa"/>
            <w:gridSpan w:val="6"/>
          </w:tcPr>
          <w:p>
            <w:pPr>
              <w:pStyle w:val="TableParagraph"/>
              <w:spacing w:before="118"/>
              <w:ind w:left="110"/>
              <w:rPr>
                <w:sz w:val="18"/>
              </w:rPr>
            </w:pPr>
            <w:r>
              <w:rPr>
                <w:sz w:val="18"/>
              </w:rPr>
              <w:t>消防安全责任人或管理人(签名)：</w:t>
            </w:r>
          </w:p>
          <w:p>
            <w:pPr>
              <w:pStyle w:val="TableParagraph"/>
              <w:spacing w:before="6"/>
              <w:rPr>
                <w:rFonts w:ascii="仿宋"/>
                <w:sz w:val="19"/>
              </w:rPr>
            </w:pPr>
          </w:p>
          <w:p>
            <w:pPr>
              <w:pStyle w:val="TableParagraph"/>
              <w:tabs>
                <w:tab w:pos="5019" w:val="left" w:leader="none"/>
                <w:tab w:pos="5742" w:val="left" w:leader="none"/>
              </w:tabs>
              <w:ind w:left="4299"/>
              <w:rPr>
                <w:sz w:val="18"/>
              </w:rPr>
            </w:pPr>
            <w:r>
              <w:rPr>
                <w:sz w:val="18"/>
              </w:rPr>
              <w:t>年</w:t>
              <w:tab/>
              <w:t>月</w:t>
              <w:tab/>
              <w:t>日</w:t>
            </w:r>
          </w:p>
        </w:tc>
      </w:tr>
      <w:tr>
        <w:trPr>
          <w:trHeight w:val="1637" w:hRule="atLeast"/>
        </w:trPr>
        <w:tc>
          <w:tcPr>
            <w:tcW w:w="938" w:type="dxa"/>
          </w:tcPr>
          <w:p>
            <w:pPr>
              <w:pStyle w:val="TableParagraph"/>
              <w:rPr>
                <w:rFonts w:ascii="仿宋"/>
                <w:sz w:val="18"/>
              </w:rPr>
            </w:pPr>
          </w:p>
          <w:p>
            <w:pPr>
              <w:pStyle w:val="TableParagraph"/>
              <w:rPr>
                <w:rFonts w:ascii="仿宋"/>
                <w:sz w:val="18"/>
              </w:rPr>
            </w:pPr>
          </w:p>
          <w:p>
            <w:pPr>
              <w:pStyle w:val="TableParagraph"/>
              <w:spacing w:before="11"/>
              <w:rPr>
                <w:rFonts w:ascii="仿宋"/>
                <w:sz w:val="18"/>
              </w:rPr>
            </w:pPr>
          </w:p>
          <w:p>
            <w:pPr>
              <w:pStyle w:val="TableParagraph"/>
              <w:spacing w:before="1"/>
              <w:ind w:left="90" w:right="78"/>
              <w:jc w:val="center"/>
              <w:rPr>
                <w:sz w:val="18"/>
              </w:rPr>
            </w:pPr>
            <w:r>
              <w:rPr>
                <w:sz w:val="18"/>
              </w:rPr>
              <w:t>备注</w:t>
            </w:r>
          </w:p>
        </w:tc>
        <w:tc>
          <w:tcPr>
            <w:tcW w:w="5585" w:type="dxa"/>
            <w:gridSpan w:val="5"/>
          </w:tcPr>
          <w:p>
            <w:pPr>
              <w:pStyle w:val="TableParagraph"/>
              <w:rPr>
                <w:rFonts w:ascii="Times New Roman"/>
                <w:sz w:val="18"/>
              </w:rPr>
            </w:pPr>
          </w:p>
        </w:tc>
      </w:tr>
    </w:tbl>
    <w:p>
      <w:pPr>
        <w:spacing w:line="249" w:lineRule="auto" w:before="5"/>
        <w:ind w:left="1111" w:right="298" w:hanging="449"/>
        <w:jc w:val="left"/>
        <w:rPr>
          <w:sz w:val="18"/>
        </w:rPr>
      </w:pPr>
      <w:r>
        <w:rPr>
          <w:rFonts w:ascii="黑体" w:hAnsi="黑体" w:eastAsia="黑体" w:hint="eastAsia"/>
          <w:sz w:val="18"/>
        </w:rPr>
        <w:t>注1：</w:t>
      </w:r>
      <w:r>
        <w:rPr>
          <w:spacing w:val="-6"/>
          <w:sz w:val="18"/>
        </w:rPr>
        <w:t>情况正常的打“√”，存在问题或故障的打“×”，并写明故障详细情</w:t>
      </w:r>
      <w:r>
        <w:rPr>
          <w:sz w:val="18"/>
        </w:rPr>
        <w:t>况；</w:t>
      </w:r>
    </w:p>
    <w:p>
      <w:pPr>
        <w:spacing w:line="249" w:lineRule="auto" w:before="1"/>
        <w:ind w:left="1111" w:right="243" w:hanging="449"/>
        <w:jc w:val="left"/>
        <w:rPr>
          <w:sz w:val="18"/>
        </w:rPr>
      </w:pPr>
      <w:r>
        <w:rPr>
          <w:rFonts w:ascii="黑体" w:eastAsia="黑体" w:hint="eastAsia"/>
          <w:sz w:val="18"/>
        </w:rPr>
        <w:t>注2：</w:t>
      </w:r>
      <w:r>
        <w:rPr>
          <w:sz w:val="18"/>
        </w:rPr>
        <w:t>对发现的问题应及时处理，不能及时处置的要填报《建筑消防设施故障处理记录》。</w:t>
      </w:r>
    </w:p>
    <w:p>
      <w:pPr>
        <w:spacing w:after="0" w:line="249" w:lineRule="auto"/>
        <w:jc w:val="left"/>
        <w:rPr>
          <w:sz w:val="18"/>
        </w:rPr>
        <w:sectPr>
          <w:pgSz w:w="8400" w:h="11910"/>
          <w:pgMar w:header="0" w:footer="875" w:top="1020" w:bottom="1060" w:left="720" w:right="720"/>
        </w:sectPr>
      </w:pPr>
    </w:p>
    <w:p>
      <w:pPr>
        <w:pStyle w:val="Heading1"/>
        <w:spacing w:before="33" w:after="8"/>
        <w:ind w:left="1524"/>
        <w:jc w:val="left"/>
      </w:pPr>
      <w:r>
        <w:rPr/>
        <w:t>重点部位每日防火巡查记录表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2"/>
        <w:gridCol w:w="319"/>
        <w:gridCol w:w="311"/>
        <w:gridCol w:w="316"/>
        <w:gridCol w:w="263"/>
        <w:gridCol w:w="354"/>
        <w:gridCol w:w="437"/>
        <w:gridCol w:w="902"/>
        <w:gridCol w:w="427"/>
        <w:gridCol w:w="1191"/>
        <w:gridCol w:w="1100"/>
      </w:tblGrid>
      <w:tr>
        <w:trPr>
          <w:trHeight w:val="666" w:hRule="atLeast"/>
        </w:trPr>
        <w:tc>
          <w:tcPr>
            <w:tcW w:w="902" w:type="dxa"/>
            <w:tcBorders>
              <w:right w:val="nil"/>
            </w:tcBorders>
          </w:tcPr>
          <w:p>
            <w:pPr>
              <w:pStyle w:val="TableParagraph"/>
              <w:spacing w:before="5"/>
              <w:rPr>
                <w:rFonts w:ascii="黑体"/>
                <w:sz w:val="15"/>
              </w:rPr>
            </w:pPr>
          </w:p>
          <w:p>
            <w:pPr>
              <w:pStyle w:val="TableParagraph"/>
              <w:ind w:left="559"/>
              <w:rPr>
                <w:sz w:val="21"/>
              </w:rPr>
            </w:pPr>
            <w:r>
              <w:rPr>
                <w:w w:val="100"/>
                <w:sz w:val="21"/>
              </w:rPr>
              <w:t>值</w:t>
            </w:r>
          </w:p>
        </w:tc>
        <w:tc>
          <w:tcPr>
            <w:tcW w:w="630" w:type="dxa"/>
            <w:gridSpan w:val="2"/>
            <w:tcBorders>
              <w:left w:val="nil"/>
              <w:right w:val="nil"/>
            </w:tcBorders>
          </w:tcPr>
          <w:p>
            <w:pPr>
              <w:pStyle w:val="TableParagraph"/>
              <w:spacing w:before="5"/>
              <w:rPr>
                <w:rFonts w:ascii="黑体"/>
                <w:sz w:val="15"/>
              </w:rPr>
            </w:pPr>
          </w:p>
          <w:p>
            <w:pPr>
              <w:pStyle w:val="TableParagraph"/>
              <w:ind w:left="187"/>
              <w:rPr>
                <w:sz w:val="21"/>
              </w:rPr>
            </w:pPr>
            <w:r>
              <w:rPr>
                <w:w w:val="100"/>
                <w:sz w:val="21"/>
              </w:rPr>
              <w:t>班</w:t>
            </w:r>
          </w:p>
        </w:tc>
        <w:tc>
          <w:tcPr>
            <w:tcW w:w="316" w:type="dxa"/>
            <w:tcBorders>
              <w:left w:val="nil"/>
              <w:right w:val="nil"/>
            </w:tcBorders>
          </w:tcPr>
          <w:p>
            <w:pPr>
              <w:pStyle w:val="TableParagraph"/>
              <w:spacing w:before="5"/>
              <w:rPr>
                <w:rFonts w:ascii="黑体"/>
                <w:sz w:val="15"/>
              </w:rPr>
            </w:pPr>
          </w:p>
          <w:p>
            <w:pPr>
              <w:pStyle w:val="TableParagraph"/>
              <w:ind w:left="83"/>
              <w:rPr>
                <w:sz w:val="21"/>
              </w:rPr>
            </w:pPr>
            <w:r>
              <w:rPr>
                <w:w w:val="100"/>
                <w:sz w:val="21"/>
              </w:rPr>
              <w:t>时</w:t>
            </w:r>
          </w:p>
        </w:tc>
        <w:tc>
          <w:tcPr>
            <w:tcW w:w="263" w:type="dxa"/>
            <w:tcBorders>
              <w:left w:val="nil"/>
              <w:right w:val="nil"/>
            </w:tcBorders>
          </w:tcPr>
          <w:p>
            <w:pPr>
              <w:pStyle w:val="TableParagraph"/>
              <w:rPr>
                <w:rFonts w:ascii="Times New Roman"/>
                <w:sz w:val="22"/>
              </w:rPr>
            </w:pPr>
          </w:p>
        </w:tc>
        <w:tc>
          <w:tcPr>
            <w:tcW w:w="354" w:type="dxa"/>
            <w:tcBorders>
              <w:left w:val="nil"/>
              <w:right w:val="nil"/>
            </w:tcBorders>
          </w:tcPr>
          <w:p>
            <w:pPr>
              <w:pStyle w:val="TableParagraph"/>
              <w:spacing w:before="5"/>
              <w:rPr>
                <w:rFonts w:ascii="黑体"/>
                <w:sz w:val="15"/>
              </w:rPr>
            </w:pPr>
          </w:p>
          <w:p>
            <w:pPr>
              <w:pStyle w:val="TableParagraph"/>
              <w:ind w:left="30"/>
              <w:rPr>
                <w:sz w:val="21"/>
              </w:rPr>
            </w:pPr>
            <w:r>
              <w:rPr>
                <w:w w:val="100"/>
                <w:sz w:val="21"/>
              </w:rPr>
              <w:t>间</w:t>
            </w:r>
          </w:p>
        </w:tc>
        <w:tc>
          <w:tcPr>
            <w:tcW w:w="437" w:type="dxa"/>
            <w:tcBorders>
              <w:left w:val="nil"/>
            </w:tcBorders>
          </w:tcPr>
          <w:p>
            <w:pPr>
              <w:pStyle w:val="TableParagraph"/>
              <w:rPr>
                <w:rFonts w:ascii="Times New Roman"/>
                <w:sz w:val="22"/>
              </w:rPr>
            </w:pPr>
          </w:p>
        </w:tc>
        <w:tc>
          <w:tcPr>
            <w:tcW w:w="1329" w:type="dxa"/>
            <w:gridSpan w:val="2"/>
          </w:tcPr>
          <w:p>
            <w:pPr>
              <w:pStyle w:val="TableParagraph"/>
              <w:spacing w:before="5"/>
              <w:rPr>
                <w:rFonts w:ascii="黑体"/>
                <w:sz w:val="15"/>
              </w:rPr>
            </w:pPr>
          </w:p>
          <w:p>
            <w:pPr>
              <w:pStyle w:val="TableParagraph"/>
              <w:ind w:left="245"/>
              <w:rPr>
                <w:sz w:val="21"/>
              </w:rPr>
            </w:pPr>
            <w:r>
              <w:rPr>
                <w:sz w:val="21"/>
              </w:rPr>
              <w:t>正常与否</w:t>
            </w:r>
          </w:p>
        </w:tc>
        <w:tc>
          <w:tcPr>
            <w:tcW w:w="2291" w:type="dxa"/>
            <w:gridSpan w:val="2"/>
          </w:tcPr>
          <w:p>
            <w:pPr>
              <w:pStyle w:val="TableParagraph"/>
              <w:spacing w:line="242" w:lineRule="auto" w:before="63"/>
              <w:ind w:left="620" w:right="184" w:hanging="420"/>
              <w:rPr>
                <w:sz w:val="21"/>
              </w:rPr>
            </w:pPr>
            <w:r>
              <w:rPr>
                <w:sz w:val="21"/>
              </w:rPr>
              <w:t>消防安全管理人或值班经理签字</w:t>
            </w:r>
          </w:p>
        </w:tc>
      </w:tr>
      <w:tr>
        <w:trPr>
          <w:trHeight w:val="465" w:hRule="atLeast"/>
        </w:trPr>
        <w:tc>
          <w:tcPr>
            <w:tcW w:w="902" w:type="dxa"/>
            <w:tcBorders>
              <w:right w:val="nil"/>
            </w:tcBorders>
          </w:tcPr>
          <w:p>
            <w:pPr>
              <w:pStyle w:val="TableParagraph"/>
              <w:spacing w:before="99"/>
              <w:ind w:left="403"/>
              <w:rPr>
                <w:sz w:val="21"/>
              </w:rPr>
            </w:pPr>
            <w:r>
              <w:rPr>
                <w:w w:val="100"/>
                <w:sz w:val="21"/>
              </w:rPr>
              <w:t>时</w:t>
            </w:r>
          </w:p>
        </w:tc>
        <w:tc>
          <w:tcPr>
            <w:tcW w:w="630" w:type="dxa"/>
            <w:gridSpan w:val="2"/>
            <w:tcBorders>
              <w:left w:val="nil"/>
              <w:right w:val="nil"/>
            </w:tcBorders>
          </w:tcPr>
          <w:p>
            <w:pPr>
              <w:pStyle w:val="TableParagraph"/>
              <w:spacing w:before="99"/>
              <w:ind w:left="137"/>
              <w:rPr>
                <w:sz w:val="21"/>
              </w:rPr>
            </w:pPr>
            <w:r>
              <w:rPr>
                <w:sz w:val="21"/>
              </w:rPr>
              <w:t>分至</w:t>
            </w:r>
          </w:p>
        </w:tc>
        <w:tc>
          <w:tcPr>
            <w:tcW w:w="316" w:type="dxa"/>
            <w:tcBorders>
              <w:left w:val="nil"/>
              <w:right w:val="nil"/>
            </w:tcBorders>
          </w:tcPr>
          <w:p>
            <w:pPr>
              <w:pStyle w:val="TableParagraph"/>
              <w:rPr>
                <w:rFonts w:ascii="Times New Roman"/>
                <w:sz w:val="22"/>
              </w:rPr>
            </w:pPr>
          </w:p>
        </w:tc>
        <w:tc>
          <w:tcPr>
            <w:tcW w:w="263" w:type="dxa"/>
            <w:tcBorders>
              <w:left w:val="nil"/>
              <w:right w:val="nil"/>
            </w:tcBorders>
          </w:tcPr>
          <w:p>
            <w:pPr>
              <w:pStyle w:val="TableParagraph"/>
              <w:spacing w:before="99"/>
              <w:ind w:left="11"/>
              <w:jc w:val="center"/>
              <w:rPr>
                <w:sz w:val="21"/>
              </w:rPr>
            </w:pPr>
            <w:r>
              <w:rPr>
                <w:w w:val="100"/>
                <w:sz w:val="21"/>
              </w:rPr>
              <w:t>时</w:t>
            </w:r>
          </w:p>
        </w:tc>
        <w:tc>
          <w:tcPr>
            <w:tcW w:w="354" w:type="dxa"/>
            <w:tcBorders>
              <w:left w:val="nil"/>
              <w:right w:val="nil"/>
            </w:tcBorders>
          </w:tcPr>
          <w:p>
            <w:pPr>
              <w:pStyle w:val="TableParagraph"/>
              <w:rPr>
                <w:rFonts w:ascii="Times New Roman"/>
                <w:sz w:val="22"/>
              </w:rPr>
            </w:pPr>
          </w:p>
        </w:tc>
        <w:tc>
          <w:tcPr>
            <w:tcW w:w="437" w:type="dxa"/>
            <w:tcBorders>
              <w:left w:val="nil"/>
            </w:tcBorders>
          </w:tcPr>
          <w:p>
            <w:pPr>
              <w:pStyle w:val="TableParagraph"/>
              <w:spacing w:before="99"/>
              <w:ind w:left="43"/>
              <w:rPr>
                <w:sz w:val="21"/>
              </w:rPr>
            </w:pPr>
            <w:r>
              <w:rPr>
                <w:w w:val="100"/>
                <w:sz w:val="21"/>
              </w:rPr>
              <w:t>分</w:t>
            </w:r>
          </w:p>
        </w:tc>
        <w:tc>
          <w:tcPr>
            <w:tcW w:w="1329" w:type="dxa"/>
            <w:gridSpan w:val="2"/>
          </w:tcPr>
          <w:p>
            <w:pPr>
              <w:pStyle w:val="TableParagraph"/>
              <w:rPr>
                <w:rFonts w:ascii="Times New Roman"/>
                <w:sz w:val="22"/>
              </w:rPr>
            </w:pPr>
          </w:p>
        </w:tc>
        <w:tc>
          <w:tcPr>
            <w:tcW w:w="2291" w:type="dxa"/>
            <w:gridSpan w:val="2"/>
          </w:tcPr>
          <w:p>
            <w:pPr>
              <w:pStyle w:val="TableParagraph"/>
              <w:rPr>
                <w:rFonts w:ascii="Times New Roman"/>
                <w:sz w:val="22"/>
              </w:rPr>
            </w:pPr>
          </w:p>
        </w:tc>
      </w:tr>
      <w:tr>
        <w:trPr>
          <w:trHeight w:val="462" w:hRule="atLeast"/>
        </w:trPr>
        <w:tc>
          <w:tcPr>
            <w:tcW w:w="902" w:type="dxa"/>
            <w:tcBorders>
              <w:right w:val="nil"/>
            </w:tcBorders>
          </w:tcPr>
          <w:p>
            <w:pPr>
              <w:pStyle w:val="TableParagraph"/>
              <w:spacing w:before="97"/>
              <w:ind w:left="403"/>
              <w:rPr>
                <w:sz w:val="21"/>
              </w:rPr>
            </w:pPr>
            <w:r>
              <w:rPr>
                <w:w w:val="100"/>
                <w:sz w:val="21"/>
              </w:rPr>
              <w:t>时</w:t>
            </w:r>
          </w:p>
        </w:tc>
        <w:tc>
          <w:tcPr>
            <w:tcW w:w="630" w:type="dxa"/>
            <w:gridSpan w:val="2"/>
            <w:tcBorders>
              <w:left w:val="nil"/>
              <w:right w:val="nil"/>
            </w:tcBorders>
          </w:tcPr>
          <w:p>
            <w:pPr>
              <w:pStyle w:val="TableParagraph"/>
              <w:spacing w:before="97"/>
              <w:ind w:left="137"/>
              <w:rPr>
                <w:sz w:val="21"/>
              </w:rPr>
            </w:pPr>
            <w:r>
              <w:rPr>
                <w:sz w:val="21"/>
              </w:rPr>
              <w:t>分至</w:t>
            </w:r>
          </w:p>
        </w:tc>
        <w:tc>
          <w:tcPr>
            <w:tcW w:w="316" w:type="dxa"/>
            <w:tcBorders>
              <w:left w:val="nil"/>
              <w:right w:val="nil"/>
            </w:tcBorders>
          </w:tcPr>
          <w:p>
            <w:pPr>
              <w:pStyle w:val="TableParagraph"/>
              <w:rPr>
                <w:rFonts w:ascii="Times New Roman"/>
                <w:sz w:val="22"/>
              </w:rPr>
            </w:pPr>
          </w:p>
        </w:tc>
        <w:tc>
          <w:tcPr>
            <w:tcW w:w="263" w:type="dxa"/>
            <w:tcBorders>
              <w:left w:val="nil"/>
              <w:right w:val="nil"/>
            </w:tcBorders>
          </w:tcPr>
          <w:p>
            <w:pPr>
              <w:pStyle w:val="TableParagraph"/>
              <w:spacing w:before="97"/>
              <w:ind w:left="11"/>
              <w:jc w:val="center"/>
              <w:rPr>
                <w:sz w:val="21"/>
              </w:rPr>
            </w:pPr>
            <w:r>
              <w:rPr>
                <w:w w:val="100"/>
                <w:sz w:val="21"/>
              </w:rPr>
              <w:t>时</w:t>
            </w:r>
          </w:p>
        </w:tc>
        <w:tc>
          <w:tcPr>
            <w:tcW w:w="354" w:type="dxa"/>
            <w:tcBorders>
              <w:left w:val="nil"/>
              <w:right w:val="nil"/>
            </w:tcBorders>
          </w:tcPr>
          <w:p>
            <w:pPr>
              <w:pStyle w:val="TableParagraph"/>
              <w:rPr>
                <w:rFonts w:ascii="Times New Roman"/>
                <w:sz w:val="22"/>
              </w:rPr>
            </w:pPr>
          </w:p>
        </w:tc>
        <w:tc>
          <w:tcPr>
            <w:tcW w:w="437" w:type="dxa"/>
            <w:tcBorders>
              <w:left w:val="nil"/>
            </w:tcBorders>
          </w:tcPr>
          <w:p>
            <w:pPr>
              <w:pStyle w:val="TableParagraph"/>
              <w:spacing w:before="97"/>
              <w:ind w:left="43"/>
              <w:rPr>
                <w:sz w:val="21"/>
              </w:rPr>
            </w:pPr>
            <w:r>
              <w:rPr>
                <w:w w:val="100"/>
                <w:sz w:val="21"/>
              </w:rPr>
              <w:t>分</w:t>
            </w:r>
          </w:p>
        </w:tc>
        <w:tc>
          <w:tcPr>
            <w:tcW w:w="1329" w:type="dxa"/>
            <w:gridSpan w:val="2"/>
          </w:tcPr>
          <w:p>
            <w:pPr>
              <w:pStyle w:val="TableParagraph"/>
              <w:rPr>
                <w:rFonts w:ascii="Times New Roman"/>
                <w:sz w:val="22"/>
              </w:rPr>
            </w:pPr>
          </w:p>
        </w:tc>
        <w:tc>
          <w:tcPr>
            <w:tcW w:w="2291" w:type="dxa"/>
            <w:gridSpan w:val="2"/>
          </w:tcPr>
          <w:p>
            <w:pPr>
              <w:pStyle w:val="TableParagraph"/>
              <w:rPr>
                <w:rFonts w:ascii="Times New Roman"/>
                <w:sz w:val="22"/>
              </w:rPr>
            </w:pPr>
          </w:p>
        </w:tc>
      </w:tr>
      <w:tr>
        <w:trPr>
          <w:trHeight w:val="465" w:hRule="atLeast"/>
        </w:trPr>
        <w:tc>
          <w:tcPr>
            <w:tcW w:w="902" w:type="dxa"/>
            <w:tcBorders>
              <w:right w:val="nil"/>
            </w:tcBorders>
          </w:tcPr>
          <w:p>
            <w:pPr>
              <w:pStyle w:val="TableParagraph"/>
              <w:spacing w:before="99"/>
              <w:ind w:left="403"/>
              <w:rPr>
                <w:sz w:val="21"/>
              </w:rPr>
            </w:pPr>
            <w:r>
              <w:rPr>
                <w:w w:val="100"/>
                <w:sz w:val="21"/>
              </w:rPr>
              <w:t>时</w:t>
            </w:r>
          </w:p>
        </w:tc>
        <w:tc>
          <w:tcPr>
            <w:tcW w:w="630" w:type="dxa"/>
            <w:gridSpan w:val="2"/>
            <w:tcBorders>
              <w:left w:val="nil"/>
              <w:right w:val="nil"/>
            </w:tcBorders>
          </w:tcPr>
          <w:p>
            <w:pPr>
              <w:pStyle w:val="TableParagraph"/>
              <w:spacing w:before="99"/>
              <w:ind w:left="137"/>
              <w:rPr>
                <w:sz w:val="21"/>
              </w:rPr>
            </w:pPr>
            <w:r>
              <w:rPr>
                <w:sz w:val="21"/>
              </w:rPr>
              <w:t>分至</w:t>
            </w:r>
          </w:p>
        </w:tc>
        <w:tc>
          <w:tcPr>
            <w:tcW w:w="316" w:type="dxa"/>
            <w:tcBorders>
              <w:left w:val="nil"/>
              <w:right w:val="nil"/>
            </w:tcBorders>
          </w:tcPr>
          <w:p>
            <w:pPr>
              <w:pStyle w:val="TableParagraph"/>
              <w:rPr>
                <w:rFonts w:ascii="Times New Roman"/>
                <w:sz w:val="22"/>
              </w:rPr>
            </w:pPr>
          </w:p>
        </w:tc>
        <w:tc>
          <w:tcPr>
            <w:tcW w:w="263" w:type="dxa"/>
            <w:tcBorders>
              <w:left w:val="nil"/>
              <w:right w:val="nil"/>
            </w:tcBorders>
          </w:tcPr>
          <w:p>
            <w:pPr>
              <w:pStyle w:val="TableParagraph"/>
              <w:spacing w:before="99"/>
              <w:ind w:left="11"/>
              <w:jc w:val="center"/>
              <w:rPr>
                <w:sz w:val="21"/>
              </w:rPr>
            </w:pPr>
            <w:r>
              <w:rPr>
                <w:w w:val="100"/>
                <w:sz w:val="21"/>
              </w:rPr>
              <w:t>时</w:t>
            </w:r>
          </w:p>
        </w:tc>
        <w:tc>
          <w:tcPr>
            <w:tcW w:w="354" w:type="dxa"/>
            <w:tcBorders>
              <w:left w:val="nil"/>
              <w:right w:val="nil"/>
            </w:tcBorders>
          </w:tcPr>
          <w:p>
            <w:pPr>
              <w:pStyle w:val="TableParagraph"/>
              <w:rPr>
                <w:rFonts w:ascii="Times New Roman"/>
                <w:sz w:val="22"/>
              </w:rPr>
            </w:pPr>
          </w:p>
        </w:tc>
        <w:tc>
          <w:tcPr>
            <w:tcW w:w="437" w:type="dxa"/>
            <w:tcBorders>
              <w:left w:val="nil"/>
            </w:tcBorders>
          </w:tcPr>
          <w:p>
            <w:pPr>
              <w:pStyle w:val="TableParagraph"/>
              <w:spacing w:before="99"/>
              <w:ind w:left="43"/>
              <w:rPr>
                <w:sz w:val="21"/>
              </w:rPr>
            </w:pPr>
            <w:r>
              <w:rPr>
                <w:w w:val="100"/>
                <w:sz w:val="21"/>
              </w:rPr>
              <w:t>分</w:t>
            </w:r>
          </w:p>
        </w:tc>
        <w:tc>
          <w:tcPr>
            <w:tcW w:w="1329" w:type="dxa"/>
            <w:gridSpan w:val="2"/>
          </w:tcPr>
          <w:p>
            <w:pPr>
              <w:pStyle w:val="TableParagraph"/>
              <w:rPr>
                <w:rFonts w:ascii="Times New Roman"/>
                <w:sz w:val="22"/>
              </w:rPr>
            </w:pPr>
          </w:p>
        </w:tc>
        <w:tc>
          <w:tcPr>
            <w:tcW w:w="2291" w:type="dxa"/>
            <w:gridSpan w:val="2"/>
          </w:tcPr>
          <w:p>
            <w:pPr>
              <w:pStyle w:val="TableParagraph"/>
              <w:rPr>
                <w:rFonts w:ascii="Times New Roman"/>
                <w:sz w:val="22"/>
              </w:rPr>
            </w:pPr>
          </w:p>
        </w:tc>
      </w:tr>
      <w:tr>
        <w:trPr>
          <w:trHeight w:val="462" w:hRule="atLeast"/>
        </w:trPr>
        <w:tc>
          <w:tcPr>
            <w:tcW w:w="902" w:type="dxa"/>
            <w:tcBorders>
              <w:right w:val="nil"/>
            </w:tcBorders>
          </w:tcPr>
          <w:p>
            <w:pPr>
              <w:pStyle w:val="TableParagraph"/>
              <w:spacing w:before="97"/>
              <w:ind w:left="403"/>
              <w:rPr>
                <w:sz w:val="21"/>
              </w:rPr>
            </w:pPr>
            <w:r>
              <w:rPr>
                <w:w w:val="100"/>
                <w:sz w:val="21"/>
              </w:rPr>
              <w:t>时</w:t>
            </w:r>
          </w:p>
        </w:tc>
        <w:tc>
          <w:tcPr>
            <w:tcW w:w="630" w:type="dxa"/>
            <w:gridSpan w:val="2"/>
            <w:tcBorders>
              <w:left w:val="nil"/>
              <w:right w:val="nil"/>
            </w:tcBorders>
          </w:tcPr>
          <w:p>
            <w:pPr>
              <w:pStyle w:val="TableParagraph"/>
              <w:spacing w:before="97"/>
              <w:ind w:left="137"/>
              <w:rPr>
                <w:sz w:val="21"/>
              </w:rPr>
            </w:pPr>
            <w:r>
              <w:rPr>
                <w:sz w:val="21"/>
              </w:rPr>
              <w:t>分至</w:t>
            </w:r>
          </w:p>
        </w:tc>
        <w:tc>
          <w:tcPr>
            <w:tcW w:w="316" w:type="dxa"/>
            <w:tcBorders>
              <w:left w:val="nil"/>
              <w:right w:val="nil"/>
            </w:tcBorders>
          </w:tcPr>
          <w:p>
            <w:pPr>
              <w:pStyle w:val="TableParagraph"/>
              <w:rPr>
                <w:rFonts w:ascii="Times New Roman"/>
                <w:sz w:val="22"/>
              </w:rPr>
            </w:pPr>
          </w:p>
        </w:tc>
        <w:tc>
          <w:tcPr>
            <w:tcW w:w="263" w:type="dxa"/>
            <w:tcBorders>
              <w:left w:val="nil"/>
              <w:right w:val="nil"/>
            </w:tcBorders>
          </w:tcPr>
          <w:p>
            <w:pPr>
              <w:pStyle w:val="TableParagraph"/>
              <w:spacing w:before="97"/>
              <w:ind w:left="11"/>
              <w:jc w:val="center"/>
              <w:rPr>
                <w:sz w:val="21"/>
              </w:rPr>
            </w:pPr>
            <w:r>
              <w:rPr>
                <w:w w:val="100"/>
                <w:sz w:val="21"/>
              </w:rPr>
              <w:t>时</w:t>
            </w:r>
          </w:p>
        </w:tc>
        <w:tc>
          <w:tcPr>
            <w:tcW w:w="354" w:type="dxa"/>
            <w:tcBorders>
              <w:left w:val="nil"/>
              <w:right w:val="nil"/>
            </w:tcBorders>
          </w:tcPr>
          <w:p>
            <w:pPr>
              <w:pStyle w:val="TableParagraph"/>
              <w:rPr>
                <w:rFonts w:ascii="Times New Roman"/>
                <w:sz w:val="22"/>
              </w:rPr>
            </w:pPr>
          </w:p>
        </w:tc>
        <w:tc>
          <w:tcPr>
            <w:tcW w:w="437" w:type="dxa"/>
            <w:tcBorders>
              <w:left w:val="nil"/>
            </w:tcBorders>
          </w:tcPr>
          <w:p>
            <w:pPr>
              <w:pStyle w:val="TableParagraph"/>
              <w:spacing w:before="97"/>
              <w:ind w:left="43"/>
              <w:rPr>
                <w:sz w:val="21"/>
              </w:rPr>
            </w:pPr>
            <w:r>
              <w:rPr>
                <w:w w:val="100"/>
                <w:sz w:val="21"/>
              </w:rPr>
              <w:t>分</w:t>
            </w:r>
          </w:p>
        </w:tc>
        <w:tc>
          <w:tcPr>
            <w:tcW w:w="1329" w:type="dxa"/>
            <w:gridSpan w:val="2"/>
          </w:tcPr>
          <w:p>
            <w:pPr>
              <w:pStyle w:val="TableParagraph"/>
              <w:rPr>
                <w:rFonts w:ascii="Times New Roman"/>
                <w:sz w:val="22"/>
              </w:rPr>
            </w:pPr>
          </w:p>
        </w:tc>
        <w:tc>
          <w:tcPr>
            <w:tcW w:w="2291" w:type="dxa"/>
            <w:gridSpan w:val="2"/>
          </w:tcPr>
          <w:p>
            <w:pPr>
              <w:pStyle w:val="TableParagraph"/>
              <w:rPr>
                <w:rFonts w:ascii="Times New Roman"/>
                <w:sz w:val="22"/>
              </w:rPr>
            </w:pPr>
          </w:p>
        </w:tc>
      </w:tr>
      <w:tr>
        <w:trPr>
          <w:trHeight w:val="465" w:hRule="atLeast"/>
        </w:trPr>
        <w:tc>
          <w:tcPr>
            <w:tcW w:w="1221" w:type="dxa"/>
            <w:gridSpan w:val="2"/>
          </w:tcPr>
          <w:p>
            <w:pPr>
              <w:pStyle w:val="TableParagraph"/>
              <w:spacing w:before="100"/>
              <w:ind w:left="139"/>
              <w:rPr>
                <w:sz w:val="21"/>
              </w:rPr>
            </w:pPr>
            <w:r>
              <w:rPr>
                <w:sz w:val="21"/>
              </w:rPr>
              <w:t>巡查时 间</w:t>
            </w:r>
          </w:p>
        </w:tc>
        <w:tc>
          <w:tcPr>
            <w:tcW w:w="1244" w:type="dxa"/>
            <w:gridSpan w:val="4"/>
          </w:tcPr>
          <w:p>
            <w:pPr>
              <w:pStyle w:val="TableParagraph"/>
              <w:spacing w:before="100"/>
              <w:ind w:left="202"/>
              <w:rPr>
                <w:sz w:val="21"/>
              </w:rPr>
            </w:pPr>
            <w:r>
              <w:rPr>
                <w:sz w:val="21"/>
              </w:rPr>
              <w:t>巡查部位</w:t>
            </w:r>
          </w:p>
        </w:tc>
        <w:tc>
          <w:tcPr>
            <w:tcW w:w="1339" w:type="dxa"/>
            <w:gridSpan w:val="2"/>
          </w:tcPr>
          <w:p>
            <w:pPr>
              <w:pStyle w:val="TableParagraph"/>
              <w:spacing w:before="100"/>
              <w:ind w:left="249"/>
              <w:rPr>
                <w:sz w:val="21"/>
              </w:rPr>
            </w:pPr>
            <w:r>
              <w:rPr>
                <w:sz w:val="21"/>
              </w:rPr>
              <w:t>巡查情况</w:t>
            </w:r>
          </w:p>
        </w:tc>
        <w:tc>
          <w:tcPr>
            <w:tcW w:w="1618" w:type="dxa"/>
            <w:gridSpan w:val="2"/>
          </w:tcPr>
          <w:p>
            <w:pPr>
              <w:pStyle w:val="TableParagraph"/>
              <w:spacing w:before="100"/>
              <w:ind w:left="233"/>
              <w:rPr>
                <w:sz w:val="21"/>
              </w:rPr>
            </w:pPr>
            <w:r>
              <w:rPr>
                <w:sz w:val="21"/>
              </w:rPr>
              <w:t>处 理 结 果</w:t>
            </w:r>
          </w:p>
        </w:tc>
        <w:tc>
          <w:tcPr>
            <w:tcW w:w="1100" w:type="dxa"/>
          </w:tcPr>
          <w:p>
            <w:pPr>
              <w:pStyle w:val="TableParagraph"/>
              <w:spacing w:before="100"/>
              <w:ind w:left="236"/>
              <w:rPr>
                <w:sz w:val="21"/>
              </w:rPr>
            </w:pPr>
            <w:r>
              <w:rPr>
                <w:sz w:val="21"/>
              </w:rPr>
              <w:t>巡查员</w:t>
            </w:r>
          </w:p>
        </w:tc>
      </w:tr>
      <w:tr>
        <w:trPr>
          <w:trHeight w:val="462"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2"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3"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2"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2"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3"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r>
        <w:trPr>
          <w:trHeight w:val="465" w:hRule="atLeast"/>
        </w:trPr>
        <w:tc>
          <w:tcPr>
            <w:tcW w:w="1221" w:type="dxa"/>
            <w:gridSpan w:val="2"/>
          </w:tcPr>
          <w:p>
            <w:pPr>
              <w:pStyle w:val="TableParagraph"/>
              <w:rPr>
                <w:rFonts w:ascii="Times New Roman"/>
                <w:sz w:val="22"/>
              </w:rPr>
            </w:pPr>
          </w:p>
        </w:tc>
        <w:tc>
          <w:tcPr>
            <w:tcW w:w="1244" w:type="dxa"/>
            <w:gridSpan w:val="4"/>
          </w:tcPr>
          <w:p>
            <w:pPr>
              <w:pStyle w:val="TableParagraph"/>
              <w:rPr>
                <w:rFonts w:ascii="Times New Roman"/>
                <w:sz w:val="22"/>
              </w:rPr>
            </w:pPr>
          </w:p>
        </w:tc>
        <w:tc>
          <w:tcPr>
            <w:tcW w:w="1339" w:type="dxa"/>
            <w:gridSpan w:val="2"/>
          </w:tcPr>
          <w:p>
            <w:pPr>
              <w:pStyle w:val="TableParagraph"/>
              <w:rPr>
                <w:rFonts w:ascii="Times New Roman"/>
                <w:sz w:val="22"/>
              </w:rPr>
            </w:pPr>
          </w:p>
        </w:tc>
        <w:tc>
          <w:tcPr>
            <w:tcW w:w="1618" w:type="dxa"/>
            <w:gridSpan w:val="2"/>
          </w:tcPr>
          <w:p>
            <w:pPr>
              <w:pStyle w:val="TableParagraph"/>
              <w:rPr>
                <w:rFonts w:ascii="Times New Roman"/>
                <w:sz w:val="22"/>
              </w:rPr>
            </w:pPr>
          </w:p>
        </w:tc>
        <w:tc>
          <w:tcPr>
            <w:tcW w:w="1100" w:type="dxa"/>
          </w:tcPr>
          <w:p>
            <w:pPr>
              <w:pStyle w:val="TableParagraph"/>
              <w:rPr>
                <w:rFonts w:ascii="Times New Roman"/>
                <w:sz w:val="22"/>
              </w:rPr>
            </w:pPr>
          </w:p>
        </w:tc>
      </w:tr>
    </w:tbl>
    <w:p>
      <w:pPr>
        <w:spacing w:after="0"/>
        <w:rPr>
          <w:rFonts w:ascii="Times New Roman"/>
          <w:sz w:val="22"/>
        </w:rPr>
        <w:sectPr>
          <w:pgSz w:w="8400" w:h="11910"/>
          <w:pgMar w:header="0" w:footer="834" w:top="980" w:bottom="1020" w:left="720" w:right="720"/>
        </w:sectPr>
      </w:pPr>
    </w:p>
    <w:p>
      <w:pPr>
        <w:spacing w:before="33"/>
        <w:ind w:left="1209" w:right="1210" w:firstLine="0"/>
        <w:jc w:val="center"/>
        <w:rPr>
          <w:rFonts w:ascii="黑体" w:eastAsia="黑体" w:hint="eastAsia"/>
          <w:sz w:val="30"/>
        </w:rPr>
      </w:pPr>
      <w:r>
        <w:rPr>
          <w:rFonts w:ascii="黑体" w:eastAsia="黑体" w:hint="eastAsia"/>
          <w:sz w:val="30"/>
        </w:rPr>
        <w:t>建筑消防设施每月单项检查记录表</w:t>
      </w:r>
    </w:p>
    <w:p>
      <w:pPr>
        <w:pStyle w:val="BodyText"/>
        <w:tabs>
          <w:tab w:pos="5692" w:val="left" w:leader="none"/>
          <w:tab w:pos="6412" w:val="left" w:leader="none"/>
        </w:tabs>
        <w:spacing w:before="120" w:after="20"/>
        <w:ind w:left="4491"/>
      </w:pPr>
      <w:r>
        <w:rPr/>
        <w:t>日期：</w:t>
      </w:r>
      <w:r>
        <w:rPr>
          <w:u w:val="single"/>
        </w:rPr>
        <w:t> </w:t>
        <w:tab/>
      </w:r>
      <w:r>
        <w:rPr/>
        <w:t>月</w:t>
      </w:r>
      <w:r>
        <w:rPr>
          <w:u w:val="single"/>
        </w:rPr>
        <w:t> </w:t>
        <w:tab/>
      </w:r>
      <w:r>
        <w:rPr/>
        <w:t>日</w:t>
      </w: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1443"/>
        <w:gridCol w:w="2975"/>
        <w:gridCol w:w="1304"/>
      </w:tblGrid>
      <w:tr>
        <w:trPr>
          <w:trHeight w:val="486" w:hRule="atLeast"/>
        </w:trPr>
        <w:tc>
          <w:tcPr>
            <w:tcW w:w="2185" w:type="dxa"/>
            <w:gridSpan w:val="2"/>
          </w:tcPr>
          <w:p>
            <w:pPr>
              <w:pStyle w:val="TableParagraph"/>
              <w:spacing w:before="109"/>
              <w:ind w:left="671"/>
              <w:rPr>
                <w:sz w:val="21"/>
              </w:rPr>
            </w:pPr>
            <w:r>
              <w:rPr>
                <w:sz w:val="21"/>
              </w:rPr>
              <w:t>检测项目</w:t>
            </w:r>
          </w:p>
        </w:tc>
        <w:tc>
          <w:tcPr>
            <w:tcW w:w="2975" w:type="dxa"/>
          </w:tcPr>
          <w:p>
            <w:pPr>
              <w:pStyle w:val="TableParagraph"/>
              <w:spacing w:before="109"/>
              <w:ind w:left="97" w:right="85"/>
              <w:jc w:val="center"/>
              <w:rPr>
                <w:sz w:val="21"/>
              </w:rPr>
            </w:pPr>
            <w:r>
              <w:rPr>
                <w:sz w:val="21"/>
              </w:rPr>
              <w:t>检测内容</w:t>
            </w:r>
          </w:p>
        </w:tc>
        <w:tc>
          <w:tcPr>
            <w:tcW w:w="1304" w:type="dxa"/>
          </w:tcPr>
          <w:p>
            <w:pPr>
              <w:pStyle w:val="TableParagraph"/>
              <w:spacing w:before="109"/>
              <w:ind w:left="231"/>
              <w:rPr>
                <w:sz w:val="21"/>
              </w:rPr>
            </w:pPr>
            <w:r>
              <w:rPr>
                <w:sz w:val="21"/>
              </w:rPr>
              <w:t>实测记录</w:t>
            </w:r>
          </w:p>
        </w:tc>
      </w:tr>
      <w:tr>
        <w:trPr>
          <w:trHeight w:val="553" w:hRule="atLeast"/>
        </w:trPr>
        <w:tc>
          <w:tcPr>
            <w:tcW w:w="742" w:type="dxa"/>
            <w:vMerge w:val="restart"/>
          </w:tcPr>
          <w:p>
            <w:pPr>
              <w:pStyle w:val="TableParagraph"/>
              <w:rPr>
                <w:rFonts w:ascii="仿宋"/>
                <w:sz w:val="20"/>
              </w:rPr>
            </w:pPr>
          </w:p>
          <w:p>
            <w:pPr>
              <w:pStyle w:val="TableParagraph"/>
              <w:rPr>
                <w:rFonts w:ascii="仿宋"/>
                <w:sz w:val="20"/>
              </w:rPr>
            </w:pPr>
          </w:p>
          <w:p>
            <w:pPr>
              <w:pStyle w:val="TableParagraph"/>
              <w:spacing w:before="9"/>
              <w:rPr>
                <w:rFonts w:ascii="仿宋"/>
                <w:sz w:val="14"/>
              </w:rPr>
            </w:pPr>
          </w:p>
          <w:p>
            <w:pPr>
              <w:pStyle w:val="TableParagraph"/>
              <w:spacing w:line="242" w:lineRule="auto" w:before="1"/>
              <w:ind w:left="160" w:right="148"/>
              <w:jc w:val="center"/>
              <w:rPr>
                <w:sz w:val="21"/>
              </w:rPr>
            </w:pPr>
            <w:r>
              <w:rPr>
                <w:spacing w:val="-10"/>
                <w:sz w:val="21"/>
              </w:rPr>
              <w:t>火灾</w:t>
            </w:r>
            <w:r>
              <w:rPr>
                <w:sz w:val="21"/>
              </w:rPr>
              <w:t>自 </w:t>
            </w:r>
            <w:r>
              <w:rPr>
                <w:spacing w:val="-10"/>
                <w:sz w:val="21"/>
              </w:rPr>
              <w:t>动报</w:t>
            </w:r>
            <w:r>
              <w:rPr>
                <w:sz w:val="21"/>
              </w:rPr>
              <w:t>警 系 统</w:t>
            </w:r>
          </w:p>
        </w:tc>
        <w:tc>
          <w:tcPr>
            <w:tcW w:w="1443" w:type="dxa"/>
          </w:tcPr>
          <w:p>
            <w:pPr>
              <w:pStyle w:val="TableParagraph"/>
              <w:spacing w:line="270" w:lineRule="atLeast" w:before="5"/>
              <w:ind w:left="510" w:right="183" w:hanging="317"/>
              <w:rPr>
                <w:sz w:val="21"/>
              </w:rPr>
            </w:pPr>
            <w:r>
              <w:rPr>
                <w:sz w:val="21"/>
              </w:rPr>
              <w:t>火灾报警探测器</w:t>
            </w:r>
          </w:p>
        </w:tc>
        <w:tc>
          <w:tcPr>
            <w:tcW w:w="2975" w:type="dxa"/>
          </w:tcPr>
          <w:p>
            <w:pPr>
              <w:pStyle w:val="TableParagraph"/>
              <w:spacing w:before="142"/>
              <w:ind w:left="95" w:right="85"/>
              <w:jc w:val="center"/>
              <w:rPr>
                <w:sz w:val="21"/>
              </w:rPr>
            </w:pPr>
            <w:r>
              <w:rPr>
                <w:sz w:val="21"/>
              </w:rPr>
              <w:t>试验报警功能</w:t>
            </w:r>
          </w:p>
        </w:tc>
        <w:tc>
          <w:tcPr>
            <w:tcW w:w="1304" w:type="dxa"/>
          </w:tcPr>
          <w:p>
            <w:pPr>
              <w:pStyle w:val="TableParagraph"/>
              <w:rPr>
                <w:rFonts w:ascii="Times New Roman"/>
                <w:sz w:val="20"/>
              </w:rPr>
            </w:pPr>
          </w:p>
        </w:tc>
      </w:tr>
      <w:tr>
        <w:trPr>
          <w:trHeight w:val="388" w:hRule="atLeast"/>
        </w:trPr>
        <w:tc>
          <w:tcPr>
            <w:tcW w:w="742" w:type="dxa"/>
            <w:vMerge/>
            <w:tcBorders>
              <w:top w:val="nil"/>
            </w:tcBorders>
          </w:tcPr>
          <w:p>
            <w:pPr>
              <w:rPr>
                <w:sz w:val="2"/>
                <w:szCs w:val="2"/>
              </w:rPr>
            </w:pPr>
          </w:p>
        </w:tc>
        <w:tc>
          <w:tcPr>
            <w:tcW w:w="1443" w:type="dxa"/>
          </w:tcPr>
          <w:p>
            <w:pPr>
              <w:pStyle w:val="TableParagraph"/>
              <w:spacing w:before="58"/>
              <w:ind w:left="138"/>
              <w:rPr>
                <w:sz w:val="21"/>
              </w:rPr>
            </w:pPr>
            <w:r>
              <w:rPr>
                <w:sz w:val="21"/>
              </w:rPr>
              <w:t>手动报警按钮</w:t>
            </w:r>
          </w:p>
        </w:tc>
        <w:tc>
          <w:tcPr>
            <w:tcW w:w="2975" w:type="dxa"/>
          </w:tcPr>
          <w:p>
            <w:pPr>
              <w:pStyle w:val="TableParagraph"/>
              <w:spacing w:before="58"/>
              <w:ind w:left="95" w:right="85"/>
              <w:jc w:val="center"/>
              <w:rPr>
                <w:sz w:val="21"/>
              </w:rPr>
            </w:pPr>
            <w:r>
              <w:rPr>
                <w:sz w:val="21"/>
              </w:rPr>
              <w:t>试验报警功能</w:t>
            </w:r>
          </w:p>
        </w:tc>
        <w:tc>
          <w:tcPr>
            <w:tcW w:w="1304" w:type="dxa"/>
          </w:tcPr>
          <w:p>
            <w:pPr>
              <w:pStyle w:val="TableParagraph"/>
              <w:rPr>
                <w:rFonts w:ascii="Times New Roman"/>
                <w:sz w:val="20"/>
              </w:rPr>
            </w:pPr>
          </w:p>
        </w:tc>
      </w:tr>
      <w:tr>
        <w:trPr>
          <w:trHeight w:val="419" w:hRule="atLeast"/>
        </w:trPr>
        <w:tc>
          <w:tcPr>
            <w:tcW w:w="742" w:type="dxa"/>
            <w:vMerge/>
            <w:tcBorders>
              <w:top w:val="nil"/>
            </w:tcBorders>
          </w:tcPr>
          <w:p>
            <w:pPr>
              <w:rPr>
                <w:sz w:val="2"/>
                <w:szCs w:val="2"/>
              </w:rPr>
            </w:pPr>
          </w:p>
        </w:tc>
        <w:tc>
          <w:tcPr>
            <w:tcW w:w="1443" w:type="dxa"/>
          </w:tcPr>
          <w:p>
            <w:pPr>
              <w:pStyle w:val="TableParagraph"/>
              <w:spacing w:before="75"/>
              <w:ind w:left="299"/>
              <w:rPr>
                <w:sz w:val="21"/>
              </w:rPr>
            </w:pPr>
            <w:r>
              <w:rPr>
                <w:sz w:val="21"/>
              </w:rPr>
              <w:t>警报装置</w:t>
            </w:r>
          </w:p>
        </w:tc>
        <w:tc>
          <w:tcPr>
            <w:tcW w:w="2975" w:type="dxa"/>
          </w:tcPr>
          <w:p>
            <w:pPr>
              <w:pStyle w:val="TableParagraph"/>
              <w:spacing w:before="75"/>
              <w:ind w:left="95" w:right="85"/>
              <w:jc w:val="center"/>
              <w:rPr>
                <w:sz w:val="21"/>
              </w:rPr>
            </w:pPr>
            <w:r>
              <w:rPr>
                <w:sz w:val="21"/>
              </w:rPr>
              <w:t>试验警报功能</w:t>
            </w:r>
          </w:p>
        </w:tc>
        <w:tc>
          <w:tcPr>
            <w:tcW w:w="1304" w:type="dxa"/>
          </w:tcPr>
          <w:p>
            <w:pPr>
              <w:pStyle w:val="TableParagraph"/>
              <w:rPr>
                <w:rFonts w:ascii="Times New Roman"/>
                <w:sz w:val="20"/>
              </w:rPr>
            </w:pPr>
          </w:p>
        </w:tc>
      </w:tr>
      <w:tr>
        <w:trPr>
          <w:trHeight w:val="1089" w:hRule="atLeast"/>
        </w:trPr>
        <w:tc>
          <w:tcPr>
            <w:tcW w:w="742" w:type="dxa"/>
            <w:vMerge/>
            <w:tcBorders>
              <w:top w:val="nil"/>
            </w:tcBorders>
          </w:tcPr>
          <w:p>
            <w:pPr>
              <w:rPr>
                <w:sz w:val="2"/>
                <w:szCs w:val="2"/>
              </w:rPr>
            </w:pPr>
          </w:p>
        </w:tc>
        <w:tc>
          <w:tcPr>
            <w:tcW w:w="1443" w:type="dxa"/>
          </w:tcPr>
          <w:p>
            <w:pPr>
              <w:pStyle w:val="TableParagraph"/>
              <w:rPr>
                <w:rFonts w:ascii="仿宋"/>
                <w:sz w:val="20"/>
              </w:rPr>
            </w:pPr>
          </w:p>
          <w:p>
            <w:pPr>
              <w:pStyle w:val="TableParagraph"/>
              <w:spacing w:before="155"/>
              <w:ind w:left="193"/>
              <w:rPr>
                <w:sz w:val="21"/>
              </w:rPr>
            </w:pPr>
            <w:r>
              <w:rPr>
                <w:sz w:val="21"/>
              </w:rPr>
              <w:t>报警控制器</w:t>
            </w:r>
          </w:p>
        </w:tc>
        <w:tc>
          <w:tcPr>
            <w:tcW w:w="2975" w:type="dxa"/>
          </w:tcPr>
          <w:p>
            <w:pPr>
              <w:pStyle w:val="TableParagraph"/>
              <w:spacing w:line="242" w:lineRule="auto" w:before="3"/>
              <w:ind w:left="121" w:right="107" w:hanging="5"/>
              <w:jc w:val="center"/>
              <w:rPr>
                <w:sz w:val="21"/>
              </w:rPr>
            </w:pPr>
            <w:r>
              <w:rPr>
                <w:spacing w:val="-3"/>
                <w:sz w:val="21"/>
              </w:rPr>
              <w:t>试验报警功能、故障报警功 </w:t>
            </w:r>
            <w:r>
              <w:rPr>
                <w:spacing w:val="-4"/>
                <w:sz w:val="21"/>
              </w:rPr>
              <w:t>能、火灾优先功能、打印机打</w:t>
            </w:r>
            <w:r>
              <w:rPr>
                <w:spacing w:val="-8"/>
                <w:sz w:val="21"/>
              </w:rPr>
              <w:t>印功能、火灾显示盘和 </w:t>
            </w:r>
            <w:r>
              <w:rPr>
                <w:sz w:val="21"/>
              </w:rPr>
              <w:t>CRT</w:t>
            </w:r>
            <w:r>
              <w:rPr>
                <w:spacing w:val="-25"/>
                <w:sz w:val="21"/>
              </w:rPr>
              <w:t> 显</w:t>
            </w:r>
          </w:p>
          <w:p>
            <w:pPr>
              <w:pStyle w:val="TableParagraph"/>
              <w:spacing w:line="250" w:lineRule="exact" w:before="1"/>
              <w:ind w:left="95" w:right="85"/>
              <w:jc w:val="center"/>
              <w:rPr>
                <w:sz w:val="21"/>
              </w:rPr>
            </w:pPr>
            <w:r>
              <w:rPr>
                <w:sz w:val="21"/>
              </w:rPr>
              <w:t>示器的显示功能</w:t>
            </w:r>
          </w:p>
        </w:tc>
        <w:tc>
          <w:tcPr>
            <w:tcW w:w="1304" w:type="dxa"/>
          </w:tcPr>
          <w:p>
            <w:pPr>
              <w:pStyle w:val="TableParagraph"/>
              <w:rPr>
                <w:rFonts w:ascii="Times New Roman"/>
                <w:sz w:val="20"/>
              </w:rPr>
            </w:pPr>
          </w:p>
        </w:tc>
      </w:tr>
      <w:tr>
        <w:trPr>
          <w:trHeight w:val="546" w:hRule="atLeast"/>
        </w:trPr>
        <w:tc>
          <w:tcPr>
            <w:tcW w:w="742" w:type="dxa"/>
            <w:vMerge/>
            <w:tcBorders>
              <w:top w:val="nil"/>
            </w:tcBorders>
          </w:tcPr>
          <w:p>
            <w:pPr>
              <w:rPr>
                <w:sz w:val="2"/>
                <w:szCs w:val="2"/>
              </w:rPr>
            </w:pPr>
          </w:p>
        </w:tc>
        <w:tc>
          <w:tcPr>
            <w:tcW w:w="1443" w:type="dxa"/>
          </w:tcPr>
          <w:p>
            <w:pPr>
              <w:pStyle w:val="TableParagraph"/>
              <w:spacing w:line="270" w:lineRule="atLeast" w:before="2"/>
              <w:ind w:left="510" w:right="183" w:hanging="317"/>
              <w:rPr>
                <w:sz w:val="21"/>
              </w:rPr>
            </w:pPr>
            <w:r>
              <w:rPr>
                <w:sz w:val="21"/>
              </w:rPr>
              <w:t>消防联动控制器</w:t>
            </w:r>
          </w:p>
        </w:tc>
        <w:tc>
          <w:tcPr>
            <w:tcW w:w="2975" w:type="dxa"/>
          </w:tcPr>
          <w:p>
            <w:pPr>
              <w:pStyle w:val="TableParagraph"/>
              <w:spacing w:before="138"/>
              <w:ind w:left="94" w:right="85"/>
              <w:jc w:val="center"/>
              <w:rPr>
                <w:sz w:val="21"/>
              </w:rPr>
            </w:pPr>
            <w:r>
              <w:rPr>
                <w:sz w:val="21"/>
              </w:rPr>
              <w:t>试验联动控制和显示功能</w:t>
            </w:r>
          </w:p>
        </w:tc>
        <w:tc>
          <w:tcPr>
            <w:tcW w:w="1304" w:type="dxa"/>
          </w:tcPr>
          <w:p>
            <w:pPr>
              <w:pStyle w:val="TableParagraph"/>
              <w:rPr>
                <w:rFonts w:ascii="Times New Roman"/>
                <w:sz w:val="20"/>
              </w:rPr>
            </w:pPr>
          </w:p>
        </w:tc>
      </w:tr>
      <w:tr>
        <w:trPr>
          <w:trHeight w:val="554" w:hRule="atLeast"/>
        </w:trPr>
        <w:tc>
          <w:tcPr>
            <w:tcW w:w="742" w:type="dxa"/>
            <w:vMerge w:val="restart"/>
          </w:tcPr>
          <w:p>
            <w:pPr>
              <w:pStyle w:val="TableParagraph"/>
              <w:spacing w:before="10"/>
              <w:rPr>
                <w:rFonts w:ascii="仿宋"/>
                <w:sz w:val="21"/>
              </w:rPr>
            </w:pPr>
          </w:p>
          <w:p>
            <w:pPr>
              <w:pStyle w:val="TableParagraph"/>
              <w:spacing w:line="242" w:lineRule="auto"/>
              <w:ind w:left="160" w:right="148"/>
              <w:jc w:val="both"/>
              <w:rPr>
                <w:sz w:val="21"/>
              </w:rPr>
            </w:pPr>
            <w:r>
              <w:rPr>
                <w:sz w:val="21"/>
              </w:rPr>
              <w:t>自动喷水灭火系统</w:t>
            </w:r>
          </w:p>
        </w:tc>
        <w:tc>
          <w:tcPr>
            <w:tcW w:w="1443" w:type="dxa"/>
          </w:tcPr>
          <w:p>
            <w:pPr>
              <w:pStyle w:val="TableParagraph"/>
              <w:spacing w:before="142"/>
              <w:ind w:left="299"/>
              <w:rPr>
                <w:sz w:val="21"/>
              </w:rPr>
            </w:pPr>
            <w:r>
              <w:rPr>
                <w:sz w:val="21"/>
              </w:rPr>
              <w:t>报警阀组</w:t>
            </w:r>
          </w:p>
        </w:tc>
        <w:tc>
          <w:tcPr>
            <w:tcW w:w="2975" w:type="dxa"/>
          </w:tcPr>
          <w:p>
            <w:pPr>
              <w:pStyle w:val="TableParagraph"/>
              <w:spacing w:line="270" w:lineRule="atLeast" w:before="5"/>
              <w:ind w:left="1170" w:right="106" w:hanging="1050"/>
              <w:rPr>
                <w:sz w:val="21"/>
              </w:rPr>
            </w:pPr>
            <w:r>
              <w:rPr>
                <w:sz w:val="21"/>
              </w:rPr>
              <w:t>试验放水阀放水及压力开关动作信号</w:t>
            </w:r>
          </w:p>
        </w:tc>
        <w:tc>
          <w:tcPr>
            <w:tcW w:w="1304" w:type="dxa"/>
          </w:tcPr>
          <w:p>
            <w:pPr>
              <w:pStyle w:val="TableParagraph"/>
              <w:rPr>
                <w:rFonts w:ascii="Times New Roman"/>
                <w:sz w:val="20"/>
              </w:rPr>
            </w:pPr>
          </w:p>
        </w:tc>
      </w:tr>
      <w:tr>
        <w:trPr>
          <w:trHeight w:val="556" w:hRule="atLeast"/>
        </w:trPr>
        <w:tc>
          <w:tcPr>
            <w:tcW w:w="742" w:type="dxa"/>
            <w:vMerge/>
            <w:tcBorders>
              <w:top w:val="nil"/>
            </w:tcBorders>
          </w:tcPr>
          <w:p>
            <w:pPr>
              <w:rPr>
                <w:sz w:val="2"/>
                <w:szCs w:val="2"/>
              </w:rPr>
            </w:pPr>
          </w:p>
        </w:tc>
        <w:tc>
          <w:tcPr>
            <w:tcW w:w="1443" w:type="dxa"/>
          </w:tcPr>
          <w:p>
            <w:pPr>
              <w:pStyle w:val="TableParagraph"/>
              <w:spacing w:line="270" w:lineRule="atLeast" w:before="7"/>
              <w:ind w:left="614" w:right="183" w:hanging="421"/>
              <w:rPr>
                <w:sz w:val="21"/>
              </w:rPr>
            </w:pPr>
            <w:r>
              <w:rPr>
                <w:sz w:val="21"/>
              </w:rPr>
              <w:t>末端试水装置</w:t>
            </w:r>
          </w:p>
        </w:tc>
        <w:tc>
          <w:tcPr>
            <w:tcW w:w="2975" w:type="dxa"/>
          </w:tcPr>
          <w:p>
            <w:pPr>
              <w:pStyle w:val="TableParagraph"/>
              <w:spacing w:line="270" w:lineRule="atLeast" w:before="7"/>
              <w:ind w:left="1276" w:right="107" w:hanging="1155"/>
              <w:rPr>
                <w:sz w:val="21"/>
              </w:rPr>
            </w:pPr>
            <w:r>
              <w:rPr>
                <w:sz w:val="21"/>
              </w:rPr>
              <w:t>试验末端放水及压力开关动作信号</w:t>
            </w:r>
          </w:p>
        </w:tc>
        <w:tc>
          <w:tcPr>
            <w:tcW w:w="1304" w:type="dxa"/>
          </w:tcPr>
          <w:p>
            <w:pPr>
              <w:pStyle w:val="TableParagraph"/>
              <w:rPr>
                <w:rFonts w:ascii="Times New Roman"/>
                <w:sz w:val="20"/>
              </w:rPr>
            </w:pPr>
          </w:p>
        </w:tc>
      </w:tr>
      <w:tr>
        <w:trPr>
          <w:trHeight w:val="515" w:hRule="atLeast"/>
        </w:trPr>
        <w:tc>
          <w:tcPr>
            <w:tcW w:w="742" w:type="dxa"/>
            <w:vMerge/>
            <w:tcBorders>
              <w:top w:val="nil"/>
            </w:tcBorders>
          </w:tcPr>
          <w:p>
            <w:pPr>
              <w:rPr>
                <w:sz w:val="2"/>
                <w:szCs w:val="2"/>
              </w:rPr>
            </w:pPr>
          </w:p>
        </w:tc>
        <w:tc>
          <w:tcPr>
            <w:tcW w:w="1443" w:type="dxa"/>
          </w:tcPr>
          <w:p>
            <w:pPr>
              <w:pStyle w:val="TableParagraph"/>
              <w:spacing w:before="124"/>
              <w:ind w:left="193"/>
              <w:rPr>
                <w:sz w:val="21"/>
              </w:rPr>
            </w:pPr>
            <w:r>
              <w:rPr>
                <w:sz w:val="21"/>
              </w:rPr>
              <w:t>水流指示器</w:t>
            </w:r>
          </w:p>
        </w:tc>
        <w:tc>
          <w:tcPr>
            <w:tcW w:w="2975" w:type="dxa"/>
          </w:tcPr>
          <w:p>
            <w:pPr>
              <w:pStyle w:val="TableParagraph"/>
              <w:spacing w:before="124"/>
              <w:ind w:left="95" w:right="85"/>
              <w:jc w:val="center"/>
              <w:rPr>
                <w:sz w:val="21"/>
              </w:rPr>
            </w:pPr>
            <w:r>
              <w:rPr>
                <w:sz w:val="21"/>
              </w:rPr>
              <w:t>核对反馈信号</w:t>
            </w:r>
          </w:p>
        </w:tc>
        <w:tc>
          <w:tcPr>
            <w:tcW w:w="1304" w:type="dxa"/>
          </w:tcPr>
          <w:p>
            <w:pPr>
              <w:pStyle w:val="TableParagraph"/>
              <w:rPr>
                <w:rFonts w:ascii="Times New Roman"/>
                <w:sz w:val="20"/>
              </w:rPr>
            </w:pPr>
          </w:p>
        </w:tc>
      </w:tr>
      <w:tr>
        <w:trPr>
          <w:trHeight w:val="556" w:hRule="atLeast"/>
        </w:trPr>
        <w:tc>
          <w:tcPr>
            <w:tcW w:w="742" w:type="dxa"/>
            <w:vMerge w:val="restart"/>
          </w:tcPr>
          <w:p>
            <w:pPr>
              <w:pStyle w:val="TableParagraph"/>
              <w:spacing w:before="9"/>
              <w:rPr>
                <w:rFonts w:ascii="仿宋"/>
                <w:sz w:val="16"/>
              </w:rPr>
            </w:pPr>
          </w:p>
          <w:p>
            <w:pPr>
              <w:pStyle w:val="TableParagraph"/>
              <w:spacing w:line="242" w:lineRule="auto"/>
              <w:ind w:left="107" w:right="94"/>
              <w:jc w:val="center"/>
              <w:rPr>
                <w:sz w:val="21"/>
              </w:rPr>
            </w:pPr>
            <w:r>
              <w:rPr>
                <w:sz w:val="21"/>
              </w:rPr>
              <w:t>消火栓(消防</w:t>
            </w:r>
          </w:p>
          <w:p>
            <w:pPr>
              <w:pStyle w:val="TableParagraph"/>
              <w:spacing w:line="242" w:lineRule="auto" w:before="3"/>
              <w:ind w:left="160" w:right="94" w:hanging="53"/>
              <w:jc w:val="both"/>
              <w:rPr>
                <w:sz w:val="21"/>
              </w:rPr>
            </w:pPr>
            <w:r>
              <w:rPr>
                <w:sz w:val="21"/>
              </w:rPr>
              <w:t>炮)灭火系统</w:t>
            </w:r>
          </w:p>
        </w:tc>
        <w:tc>
          <w:tcPr>
            <w:tcW w:w="1443" w:type="dxa"/>
          </w:tcPr>
          <w:p>
            <w:pPr>
              <w:pStyle w:val="TableParagraph"/>
              <w:spacing w:before="145"/>
              <w:ind w:left="193"/>
              <w:rPr>
                <w:sz w:val="21"/>
              </w:rPr>
            </w:pPr>
            <w:r>
              <w:rPr>
                <w:sz w:val="21"/>
              </w:rPr>
              <w:t>室内消火栓</w:t>
            </w:r>
          </w:p>
        </w:tc>
        <w:tc>
          <w:tcPr>
            <w:tcW w:w="2975" w:type="dxa"/>
          </w:tcPr>
          <w:p>
            <w:pPr>
              <w:pStyle w:val="TableParagraph"/>
              <w:spacing w:before="145"/>
              <w:ind w:left="97" w:right="85"/>
              <w:jc w:val="center"/>
              <w:rPr>
                <w:sz w:val="21"/>
              </w:rPr>
            </w:pPr>
            <w:r>
              <w:rPr>
                <w:sz w:val="21"/>
              </w:rPr>
              <w:t>试验屋顶消火栓出水和静压</w:t>
            </w:r>
          </w:p>
        </w:tc>
        <w:tc>
          <w:tcPr>
            <w:tcW w:w="1304" w:type="dxa"/>
          </w:tcPr>
          <w:p>
            <w:pPr>
              <w:pStyle w:val="TableParagraph"/>
              <w:rPr>
                <w:rFonts w:ascii="Times New Roman"/>
                <w:sz w:val="20"/>
              </w:rPr>
            </w:pPr>
          </w:p>
        </w:tc>
      </w:tr>
      <w:tr>
        <w:trPr>
          <w:trHeight w:val="501" w:hRule="atLeast"/>
        </w:trPr>
        <w:tc>
          <w:tcPr>
            <w:tcW w:w="742" w:type="dxa"/>
            <w:vMerge/>
            <w:tcBorders>
              <w:top w:val="nil"/>
            </w:tcBorders>
          </w:tcPr>
          <w:p>
            <w:pPr>
              <w:rPr>
                <w:sz w:val="2"/>
                <w:szCs w:val="2"/>
              </w:rPr>
            </w:pPr>
          </w:p>
        </w:tc>
        <w:tc>
          <w:tcPr>
            <w:tcW w:w="1443" w:type="dxa"/>
          </w:tcPr>
          <w:p>
            <w:pPr>
              <w:pStyle w:val="TableParagraph"/>
              <w:spacing w:before="116"/>
              <w:ind w:left="193"/>
              <w:rPr>
                <w:sz w:val="21"/>
              </w:rPr>
            </w:pPr>
            <w:r>
              <w:rPr>
                <w:sz w:val="21"/>
              </w:rPr>
              <w:t>室外消火栓</w:t>
            </w:r>
          </w:p>
        </w:tc>
        <w:tc>
          <w:tcPr>
            <w:tcW w:w="2975" w:type="dxa"/>
          </w:tcPr>
          <w:p>
            <w:pPr>
              <w:pStyle w:val="TableParagraph"/>
              <w:spacing w:before="116"/>
              <w:ind w:left="97" w:right="85"/>
              <w:jc w:val="center"/>
              <w:rPr>
                <w:sz w:val="21"/>
              </w:rPr>
            </w:pPr>
            <w:r>
              <w:rPr>
                <w:sz w:val="21"/>
              </w:rPr>
              <w:t>试验室外消火栓出水和静压</w:t>
            </w:r>
          </w:p>
        </w:tc>
        <w:tc>
          <w:tcPr>
            <w:tcW w:w="1304" w:type="dxa"/>
          </w:tcPr>
          <w:p>
            <w:pPr>
              <w:pStyle w:val="TableParagraph"/>
              <w:rPr>
                <w:rFonts w:ascii="Times New Roman"/>
                <w:sz w:val="20"/>
              </w:rPr>
            </w:pPr>
          </w:p>
        </w:tc>
      </w:tr>
      <w:tr>
        <w:trPr>
          <w:trHeight w:val="501" w:hRule="atLeast"/>
        </w:trPr>
        <w:tc>
          <w:tcPr>
            <w:tcW w:w="742" w:type="dxa"/>
            <w:vMerge/>
            <w:tcBorders>
              <w:top w:val="nil"/>
            </w:tcBorders>
          </w:tcPr>
          <w:p>
            <w:pPr>
              <w:rPr>
                <w:sz w:val="2"/>
                <w:szCs w:val="2"/>
              </w:rPr>
            </w:pPr>
          </w:p>
        </w:tc>
        <w:tc>
          <w:tcPr>
            <w:tcW w:w="1443" w:type="dxa"/>
          </w:tcPr>
          <w:p>
            <w:pPr>
              <w:pStyle w:val="TableParagraph"/>
              <w:spacing w:before="116"/>
              <w:ind w:left="404"/>
              <w:rPr>
                <w:sz w:val="21"/>
              </w:rPr>
            </w:pPr>
            <w:r>
              <w:rPr>
                <w:sz w:val="21"/>
              </w:rPr>
              <w:t>消防炮</w:t>
            </w:r>
          </w:p>
        </w:tc>
        <w:tc>
          <w:tcPr>
            <w:tcW w:w="2975" w:type="dxa"/>
          </w:tcPr>
          <w:p>
            <w:pPr>
              <w:pStyle w:val="TableParagraph"/>
              <w:spacing w:before="116"/>
              <w:ind w:left="95" w:right="85"/>
              <w:jc w:val="center"/>
              <w:rPr>
                <w:sz w:val="21"/>
              </w:rPr>
            </w:pPr>
            <w:r>
              <w:rPr>
                <w:sz w:val="21"/>
              </w:rPr>
              <w:t>试验消防炮出水</w:t>
            </w:r>
          </w:p>
        </w:tc>
        <w:tc>
          <w:tcPr>
            <w:tcW w:w="1304" w:type="dxa"/>
          </w:tcPr>
          <w:p>
            <w:pPr>
              <w:pStyle w:val="TableParagraph"/>
              <w:rPr>
                <w:rFonts w:ascii="Times New Roman"/>
                <w:sz w:val="20"/>
              </w:rPr>
            </w:pPr>
          </w:p>
        </w:tc>
      </w:tr>
      <w:tr>
        <w:trPr>
          <w:trHeight w:val="470" w:hRule="atLeast"/>
        </w:trPr>
        <w:tc>
          <w:tcPr>
            <w:tcW w:w="742" w:type="dxa"/>
            <w:vMerge/>
            <w:tcBorders>
              <w:top w:val="nil"/>
            </w:tcBorders>
          </w:tcPr>
          <w:p>
            <w:pPr>
              <w:rPr>
                <w:sz w:val="2"/>
                <w:szCs w:val="2"/>
              </w:rPr>
            </w:pPr>
          </w:p>
        </w:tc>
        <w:tc>
          <w:tcPr>
            <w:tcW w:w="1443" w:type="dxa"/>
          </w:tcPr>
          <w:p>
            <w:pPr>
              <w:pStyle w:val="TableParagraph"/>
              <w:spacing w:before="102"/>
              <w:ind w:left="299"/>
              <w:rPr>
                <w:sz w:val="21"/>
              </w:rPr>
            </w:pPr>
            <w:r>
              <w:rPr>
                <w:sz w:val="21"/>
              </w:rPr>
              <w:t>启泵按钮</w:t>
            </w:r>
          </w:p>
        </w:tc>
        <w:tc>
          <w:tcPr>
            <w:tcW w:w="2975" w:type="dxa"/>
          </w:tcPr>
          <w:p>
            <w:pPr>
              <w:pStyle w:val="TableParagraph"/>
              <w:spacing w:before="102"/>
              <w:ind w:left="97" w:right="85"/>
              <w:jc w:val="center"/>
              <w:rPr>
                <w:sz w:val="21"/>
              </w:rPr>
            </w:pPr>
            <w:r>
              <w:rPr>
                <w:sz w:val="21"/>
              </w:rPr>
              <w:t>试验远距离启泵功能</w:t>
            </w:r>
          </w:p>
        </w:tc>
        <w:tc>
          <w:tcPr>
            <w:tcW w:w="1304" w:type="dxa"/>
          </w:tcPr>
          <w:p>
            <w:pPr>
              <w:pStyle w:val="TableParagraph"/>
              <w:rPr>
                <w:rFonts w:ascii="Times New Roman"/>
                <w:sz w:val="20"/>
              </w:rPr>
            </w:pPr>
          </w:p>
        </w:tc>
      </w:tr>
      <w:tr>
        <w:trPr>
          <w:trHeight w:val="518" w:hRule="atLeast"/>
        </w:trPr>
        <w:tc>
          <w:tcPr>
            <w:tcW w:w="742" w:type="dxa"/>
            <w:vMerge w:val="restart"/>
          </w:tcPr>
          <w:p>
            <w:pPr>
              <w:pStyle w:val="TableParagraph"/>
              <w:spacing w:before="6"/>
              <w:rPr>
                <w:rFonts w:ascii="仿宋"/>
                <w:sz w:val="29"/>
              </w:rPr>
            </w:pPr>
          </w:p>
          <w:p>
            <w:pPr>
              <w:pStyle w:val="TableParagraph"/>
              <w:spacing w:line="242" w:lineRule="auto" w:before="1"/>
              <w:ind w:left="160" w:right="148"/>
              <w:jc w:val="both"/>
              <w:rPr>
                <w:sz w:val="21"/>
              </w:rPr>
            </w:pPr>
            <w:r>
              <w:rPr>
                <w:sz w:val="21"/>
              </w:rPr>
              <w:t>消防供水设施</w:t>
            </w:r>
          </w:p>
        </w:tc>
        <w:tc>
          <w:tcPr>
            <w:tcW w:w="1443" w:type="dxa"/>
          </w:tcPr>
          <w:p>
            <w:pPr>
              <w:pStyle w:val="TableParagraph"/>
              <w:spacing w:before="124"/>
              <w:ind w:left="299"/>
              <w:rPr>
                <w:sz w:val="21"/>
              </w:rPr>
            </w:pPr>
            <w:r>
              <w:rPr>
                <w:sz w:val="21"/>
              </w:rPr>
              <w:t>消防水池</w:t>
            </w:r>
          </w:p>
        </w:tc>
        <w:tc>
          <w:tcPr>
            <w:tcW w:w="2975" w:type="dxa"/>
          </w:tcPr>
          <w:p>
            <w:pPr>
              <w:pStyle w:val="TableParagraph"/>
              <w:spacing w:before="124"/>
              <w:ind w:left="97" w:right="85"/>
              <w:jc w:val="center"/>
              <w:rPr>
                <w:sz w:val="21"/>
              </w:rPr>
            </w:pPr>
            <w:r>
              <w:rPr>
                <w:sz w:val="21"/>
              </w:rPr>
              <w:t>核对储水量</w:t>
            </w:r>
          </w:p>
        </w:tc>
        <w:tc>
          <w:tcPr>
            <w:tcW w:w="1304" w:type="dxa"/>
          </w:tcPr>
          <w:p>
            <w:pPr>
              <w:pStyle w:val="TableParagraph"/>
              <w:rPr>
                <w:rFonts w:ascii="Times New Roman"/>
                <w:sz w:val="20"/>
              </w:rPr>
            </w:pPr>
          </w:p>
        </w:tc>
      </w:tr>
      <w:tr>
        <w:trPr>
          <w:trHeight w:val="474" w:hRule="atLeast"/>
        </w:trPr>
        <w:tc>
          <w:tcPr>
            <w:tcW w:w="742" w:type="dxa"/>
            <w:vMerge/>
            <w:tcBorders>
              <w:top w:val="nil"/>
            </w:tcBorders>
          </w:tcPr>
          <w:p>
            <w:pPr>
              <w:rPr>
                <w:sz w:val="2"/>
                <w:szCs w:val="2"/>
              </w:rPr>
            </w:pPr>
          </w:p>
        </w:tc>
        <w:tc>
          <w:tcPr>
            <w:tcW w:w="1443" w:type="dxa"/>
          </w:tcPr>
          <w:p>
            <w:pPr>
              <w:pStyle w:val="TableParagraph"/>
              <w:spacing w:before="101"/>
              <w:ind w:left="299"/>
              <w:rPr>
                <w:sz w:val="21"/>
              </w:rPr>
            </w:pPr>
            <w:r>
              <w:rPr>
                <w:sz w:val="21"/>
              </w:rPr>
              <w:t>消防水箱</w:t>
            </w:r>
          </w:p>
        </w:tc>
        <w:tc>
          <w:tcPr>
            <w:tcW w:w="2975" w:type="dxa"/>
          </w:tcPr>
          <w:p>
            <w:pPr>
              <w:pStyle w:val="TableParagraph"/>
              <w:spacing w:before="101"/>
              <w:ind w:left="97" w:right="85"/>
              <w:jc w:val="center"/>
              <w:rPr>
                <w:sz w:val="21"/>
              </w:rPr>
            </w:pPr>
            <w:r>
              <w:rPr>
                <w:sz w:val="21"/>
              </w:rPr>
              <w:t>核对储水量</w:t>
            </w:r>
          </w:p>
        </w:tc>
        <w:tc>
          <w:tcPr>
            <w:tcW w:w="1304" w:type="dxa"/>
          </w:tcPr>
          <w:p>
            <w:pPr>
              <w:pStyle w:val="TableParagraph"/>
              <w:rPr>
                <w:rFonts w:ascii="Times New Roman"/>
                <w:sz w:val="20"/>
              </w:rPr>
            </w:pPr>
          </w:p>
        </w:tc>
      </w:tr>
      <w:tr>
        <w:trPr>
          <w:trHeight w:val="556" w:hRule="atLeast"/>
        </w:trPr>
        <w:tc>
          <w:tcPr>
            <w:tcW w:w="742" w:type="dxa"/>
            <w:vMerge/>
            <w:tcBorders>
              <w:top w:val="nil"/>
            </w:tcBorders>
          </w:tcPr>
          <w:p>
            <w:pPr>
              <w:rPr>
                <w:sz w:val="2"/>
                <w:szCs w:val="2"/>
              </w:rPr>
            </w:pPr>
          </w:p>
        </w:tc>
        <w:tc>
          <w:tcPr>
            <w:tcW w:w="1443" w:type="dxa"/>
          </w:tcPr>
          <w:p>
            <w:pPr>
              <w:pStyle w:val="TableParagraph"/>
              <w:spacing w:line="270" w:lineRule="atLeast" w:before="7"/>
              <w:ind w:left="193" w:right="183"/>
              <w:rPr>
                <w:sz w:val="21"/>
              </w:rPr>
            </w:pPr>
            <w:r>
              <w:rPr>
                <w:sz w:val="21"/>
              </w:rPr>
              <w:t>稳(增)压泵及气压水罐</w:t>
            </w:r>
          </w:p>
        </w:tc>
        <w:tc>
          <w:tcPr>
            <w:tcW w:w="2975" w:type="dxa"/>
          </w:tcPr>
          <w:p>
            <w:pPr>
              <w:pStyle w:val="TableParagraph"/>
              <w:spacing w:line="270" w:lineRule="atLeast" w:before="7"/>
              <w:ind w:left="1276" w:right="107" w:hanging="1155"/>
              <w:rPr>
                <w:sz w:val="21"/>
              </w:rPr>
            </w:pPr>
            <w:r>
              <w:rPr>
                <w:sz w:val="21"/>
              </w:rPr>
              <w:t>试验启泵按钮、停泵时的压力工况</w:t>
            </w:r>
          </w:p>
        </w:tc>
        <w:tc>
          <w:tcPr>
            <w:tcW w:w="1304" w:type="dxa"/>
          </w:tcPr>
          <w:p>
            <w:pPr>
              <w:pStyle w:val="TableParagraph"/>
              <w:rPr>
                <w:rFonts w:ascii="Times New Roman"/>
                <w:sz w:val="20"/>
              </w:rPr>
            </w:pPr>
          </w:p>
        </w:tc>
      </w:tr>
    </w:tbl>
    <w:p>
      <w:pPr>
        <w:spacing w:after="0"/>
        <w:rPr>
          <w:rFonts w:ascii="Times New Roman"/>
          <w:sz w:val="20"/>
        </w:rPr>
        <w:sectPr>
          <w:pgSz w:w="8400" w:h="11910"/>
          <w:pgMar w:header="0" w:footer="875" w:top="980" w:bottom="1060" w:left="720" w:right="72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1443"/>
        <w:gridCol w:w="2975"/>
        <w:gridCol w:w="1304"/>
      </w:tblGrid>
      <w:tr>
        <w:trPr>
          <w:trHeight w:val="556" w:hRule="atLeast"/>
        </w:trPr>
        <w:tc>
          <w:tcPr>
            <w:tcW w:w="742" w:type="dxa"/>
            <w:vMerge w:val="restart"/>
          </w:tcPr>
          <w:p>
            <w:pPr>
              <w:pStyle w:val="TableParagraph"/>
              <w:rPr>
                <w:rFonts w:ascii="Times New Roman"/>
                <w:sz w:val="20"/>
              </w:rPr>
            </w:pPr>
          </w:p>
        </w:tc>
        <w:tc>
          <w:tcPr>
            <w:tcW w:w="1443" w:type="dxa"/>
          </w:tcPr>
          <w:p>
            <w:pPr>
              <w:pStyle w:val="TableParagraph"/>
              <w:spacing w:before="139"/>
              <w:ind w:left="175" w:right="167"/>
              <w:jc w:val="center"/>
              <w:rPr>
                <w:sz w:val="21"/>
              </w:rPr>
            </w:pPr>
            <w:r>
              <w:rPr>
                <w:sz w:val="21"/>
              </w:rPr>
              <w:t>消防水泵</w:t>
            </w:r>
          </w:p>
        </w:tc>
        <w:tc>
          <w:tcPr>
            <w:tcW w:w="2975" w:type="dxa"/>
          </w:tcPr>
          <w:p>
            <w:pPr>
              <w:pStyle w:val="TableParagraph"/>
              <w:spacing w:before="139"/>
              <w:ind w:left="97" w:right="85"/>
              <w:jc w:val="center"/>
              <w:rPr>
                <w:sz w:val="21"/>
              </w:rPr>
            </w:pPr>
            <w:r>
              <w:rPr>
                <w:sz w:val="21"/>
              </w:rPr>
              <w:t>试验启泵和主、备泵切换功能</w:t>
            </w:r>
          </w:p>
        </w:tc>
        <w:tc>
          <w:tcPr>
            <w:tcW w:w="1304" w:type="dxa"/>
          </w:tcPr>
          <w:p>
            <w:pPr>
              <w:pStyle w:val="TableParagraph"/>
              <w:rPr>
                <w:rFonts w:ascii="Times New Roman"/>
                <w:sz w:val="20"/>
              </w:rPr>
            </w:pPr>
          </w:p>
        </w:tc>
      </w:tr>
      <w:tr>
        <w:trPr>
          <w:trHeight w:val="486" w:hRule="atLeast"/>
        </w:trPr>
        <w:tc>
          <w:tcPr>
            <w:tcW w:w="742" w:type="dxa"/>
            <w:vMerge/>
            <w:tcBorders>
              <w:top w:val="nil"/>
            </w:tcBorders>
          </w:tcPr>
          <w:p>
            <w:pPr>
              <w:rPr>
                <w:sz w:val="2"/>
                <w:szCs w:val="2"/>
              </w:rPr>
            </w:pPr>
          </w:p>
        </w:tc>
        <w:tc>
          <w:tcPr>
            <w:tcW w:w="1443" w:type="dxa"/>
          </w:tcPr>
          <w:p>
            <w:pPr>
              <w:pStyle w:val="TableParagraph"/>
              <w:spacing w:before="102"/>
              <w:ind w:left="175" w:right="167"/>
              <w:jc w:val="center"/>
              <w:rPr>
                <w:sz w:val="21"/>
              </w:rPr>
            </w:pPr>
            <w:r>
              <w:rPr>
                <w:sz w:val="21"/>
              </w:rPr>
              <w:t>管网阀门</w:t>
            </w:r>
          </w:p>
        </w:tc>
        <w:tc>
          <w:tcPr>
            <w:tcW w:w="2975" w:type="dxa"/>
          </w:tcPr>
          <w:p>
            <w:pPr>
              <w:pStyle w:val="TableParagraph"/>
              <w:spacing w:before="102"/>
              <w:ind w:left="94" w:right="85"/>
              <w:jc w:val="center"/>
              <w:rPr>
                <w:sz w:val="21"/>
              </w:rPr>
            </w:pPr>
            <w:r>
              <w:rPr>
                <w:sz w:val="21"/>
              </w:rPr>
              <w:t>试验管道阀们启闭功能</w:t>
            </w:r>
          </w:p>
        </w:tc>
        <w:tc>
          <w:tcPr>
            <w:tcW w:w="1304" w:type="dxa"/>
          </w:tcPr>
          <w:p>
            <w:pPr>
              <w:pStyle w:val="TableParagraph"/>
              <w:rPr>
                <w:rFonts w:ascii="Times New Roman"/>
                <w:sz w:val="20"/>
              </w:rPr>
            </w:pPr>
          </w:p>
        </w:tc>
      </w:tr>
      <w:tr>
        <w:trPr>
          <w:trHeight w:val="530" w:hRule="atLeast"/>
        </w:trPr>
        <w:tc>
          <w:tcPr>
            <w:tcW w:w="742" w:type="dxa"/>
            <w:vMerge w:val="restart"/>
          </w:tcPr>
          <w:p>
            <w:pPr>
              <w:pStyle w:val="TableParagraph"/>
              <w:rPr>
                <w:rFonts w:ascii="仿宋"/>
                <w:sz w:val="20"/>
              </w:rPr>
            </w:pPr>
          </w:p>
          <w:p>
            <w:pPr>
              <w:pStyle w:val="TableParagraph"/>
              <w:spacing w:before="10"/>
              <w:rPr>
                <w:rFonts w:ascii="仿宋"/>
                <w:sz w:val="23"/>
              </w:rPr>
            </w:pPr>
          </w:p>
          <w:p>
            <w:pPr>
              <w:pStyle w:val="TableParagraph"/>
              <w:spacing w:line="242" w:lineRule="auto"/>
              <w:ind w:left="160" w:right="148"/>
              <w:jc w:val="both"/>
              <w:rPr>
                <w:sz w:val="21"/>
              </w:rPr>
            </w:pPr>
            <w:r>
              <w:rPr>
                <w:sz w:val="21"/>
              </w:rPr>
              <w:t>机械加压送风系统</w:t>
            </w:r>
          </w:p>
        </w:tc>
        <w:tc>
          <w:tcPr>
            <w:tcW w:w="1443" w:type="dxa"/>
          </w:tcPr>
          <w:p>
            <w:pPr>
              <w:pStyle w:val="TableParagraph"/>
              <w:spacing w:before="124"/>
              <w:ind w:left="175" w:right="165"/>
              <w:jc w:val="center"/>
              <w:rPr>
                <w:sz w:val="21"/>
              </w:rPr>
            </w:pPr>
            <w:r>
              <w:rPr>
                <w:sz w:val="21"/>
              </w:rPr>
              <w:t>风机</w:t>
            </w:r>
          </w:p>
        </w:tc>
        <w:tc>
          <w:tcPr>
            <w:tcW w:w="2975" w:type="dxa"/>
          </w:tcPr>
          <w:p>
            <w:pPr>
              <w:pStyle w:val="TableParagraph"/>
              <w:spacing w:before="124"/>
              <w:ind w:left="98" w:right="85"/>
              <w:jc w:val="center"/>
              <w:rPr>
                <w:sz w:val="21"/>
              </w:rPr>
            </w:pPr>
            <w:r>
              <w:rPr>
                <w:sz w:val="21"/>
              </w:rPr>
              <w:t>试验联动启动风机</w:t>
            </w:r>
          </w:p>
        </w:tc>
        <w:tc>
          <w:tcPr>
            <w:tcW w:w="1304" w:type="dxa"/>
          </w:tcPr>
          <w:p>
            <w:pPr>
              <w:pStyle w:val="TableParagraph"/>
              <w:rPr>
                <w:rFonts w:ascii="Times New Roman"/>
                <w:sz w:val="20"/>
              </w:rPr>
            </w:pPr>
          </w:p>
        </w:tc>
      </w:tr>
      <w:tr>
        <w:trPr>
          <w:trHeight w:val="518" w:hRule="atLeast"/>
        </w:trPr>
        <w:tc>
          <w:tcPr>
            <w:tcW w:w="742" w:type="dxa"/>
            <w:vMerge/>
            <w:tcBorders>
              <w:top w:val="nil"/>
            </w:tcBorders>
          </w:tcPr>
          <w:p>
            <w:pPr>
              <w:rPr>
                <w:sz w:val="2"/>
                <w:szCs w:val="2"/>
              </w:rPr>
            </w:pPr>
          </w:p>
        </w:tc>
        <w:tc>
          <w:tcPr>
            <w:tcW w:w="1443" w:type="dxa"/>
          </w:tcPr>
          <w:p>
            <w:pPr>
              <w:pStyle w:val="TableParagraph"/>
              <w:spacing w:before="117"/>
              <w:ind w:left="175" w:right="165"/>
              <w:jc w:val="center"/>
              <w:rPr>
                <w:sz w:val="21"/>
              </w:rPr>
            </w:pPr>
            <w:r>
              <w:rPr>
                <w:sz w:val="21"/>
              </w:rPr>
              <w:t>送风口</w:t>
            </w:r>
          </w:p>
        </w:tc>
        <w:tc>
          <w:tcPr>
            <w:tcW w:w="2975" w:type="dxa"/>
          </w:tcPr>
          <w:p>
            <w:pPr>
              <w:pStyle w:val="TableParagraph"/>
              <w:spacing w:before="117"/>
              <w:ind w:left="95" w:right="85"/>
              <w:jc w:val="center"/>
              <w:rPr>
                <w:sz w:val="21"/>
              </w:rPr>
            </w:pPr>
            <w:r>
              <w:rPr>
                <w:sz w:val="21"/>
              </w:rPr>
              <w:t>核对送风口风速</w:t>
            </w:r>
          </w:p>
        </w:tc>
        <w:tc>
          <w:tcPr>
            <w:tcW w:w="1304" w:type="dxa"/>
          </w:tcPr>
          <w:p>
            <w:pPr>
              <w:pStyle w:val="TableParagraph"/>
              <w:rPr>
                <w:rFonts w:ascii="Times New Roman"/>
                <w:sz w:val="20"/>
              </w:rPr>
            </w:pPr>
          </w:p>
        </w:tc>
      </w:tr>
      <w:tr>
        <w:trPr>
          <w:trHeight w:val="530" w:hRule="atLeast"/>
        </w:trPr>
        <w:tc>
          <w:tcPr>
            <w:tcW w:w="742" w:type="dxa"/>
            <w:vMerge/>
            <w:tcBorders>
              <w:top w:val="nil"/>
            </w:tcBorders>
          </w:tcPr>
          <w:p>
            <w:pPr>
              <w:rPr>
                <w:sz w:val="2"/>
                <w:szCs w:val="2"/>
              </w:rPr>
            </w:pPr>
          </w:p>
        </w:tc>
        <w:tc>
          <w:tcPr>
            <w:tcW w:w="1443" w:type="dxa"/>
          </w:tcPr>
          <w:p>
            <w:pPr>
              <w:pStyle w:val="TableParagraph"/>
              <w:spacing w:before="124"/>
              <w:ind w:left="175" w:right="165"/>
              <w:jc w:val="center"/>
              <w:rPr>
                <w:sz w:val="21"/>
              </w:rPr>
            </w:pPr>
            <w:r>
              <w:rPr>
                <w:sz w:val="21"/>
              </w:rPr>
              <w:t>风机</w:t>
            </w:r>
          </w:p>
        </w:tc>
        <w:tc>
          <w:tcPr>
            <w:tcW w:w="2975" w:type="dxa"/>
          </w:tcPr>
          <w:p>
            <w:pPr>
              <w:pStyle w:val="TableParagraph"/>
              <w:spacing w:before="124"/>
              <w:ind w:left="98" w:right="85"/>
              <w:jc w:val="center"/>
              <w:rPr>
                <w:sz w:val="21"/>
              </w:rPr>
            </w:pPr>
            <w:r>
              <w:rPr>
                <w:sz w:val="21"/>
              </w:rPr>
              <w:t>试验联动启动风机</w:t>
            </w:r>
          </w:p>
        </w:tc>
        <w:tc>
          <w:tcPr>
            <w:tcW w:w="1304" w:type="dxa"/>
          </w:tcPr>
          <w:p>
            <w:pPr>
              <w:pStyle w:val="TableParagraph"/>
              <w:rPr>
                <w:rFonts w:ascii="Times New Roman"/>
                <w:sz w:val="20"/>
              </w:rPr>
            </w:pPr>
          </w:p>
        </w:tc>
      </w:tr>
      <w:tr>
        <w:trPr>
          <w:trHeight w:val="614" w:hRule="atLeast"/>
        </w:trPr>
        <w:tc>
          <w:tcPr>
            <w:tcW w:w="742" w:type="dxa"/>
            <w:vMerge/>
            <w:tcBorders>
              <w:top w:val="nil"/>
            </w:tcBorders>
          </w:tcPr>
          <w:p>
            <w:pPr>
              <w:rPr>
                <w:sz w:val="2"/>
                <w:szCs w:val="2"/>
              </w:rPr>
            </w:pPr>
          </w:p>
        </w:tc>
        <w:tc>
          <w:tcPr>
            <w:tcW w:w="1443" w:type="dxa"/>
          </w:tcPr>
          <w:p>
            <w:pPr>
              <w:pStyle w:val="TableParagraph"/>
              <w:spacing w:line="242" w:lineRule="auto" w:before="30"/>
              <w:ind w:left="193" w:right="183" w:firstLine="105"/>
              <w:rPr>
                <w:sz w:val="21"/>
              </w:rPr>
            </w:pPr>
            <w:r>
              <w:rPr>
                <w:sz w:val="21"/>
              </w:rPr>
              <w:t>排烟阀、电动排烟窗</w:t>
            </w:r>
          </w:p>
        </w:tc>
        <w:tc>
          <w:tcPr>
            <w:tcW w:w="2975" w:type="dxa"/>
          </w:tcPr>
          <w:p>
            <w:pPr>
              <w:pStyle w:val="TableParagraph"/>
              <w:spacing w:line="242" w:lineRule="auto" w:before="30"/>
              <w:ind w:left="436" w:right="107" w:hanging="315"/>
              <w:rPr>
                <w:sz w:val="21"/>
              </w:rPr>
            </w:pPr>
            <w:r>
              <w:rPr>
                <w:sz w:val="21"/>
              </w:rPr>
              <w:t>试验联动启动排烟阀、电动排烟窗；核对排烟口风速</w:t>
            </w:r>
          </w:p>
        </w:tc>
        <w:tc>
          <w:tcPr>
            <w:tcW w:w="1304" w:type="dxa"/>
          </w:tcPr>
          <w:p>
            <w:pPr>
              <w:pStyle w:val="TableParagraph"/>
              <w:rPr>
                <w:rFonts w:ascii="Times New Roman"/>
                <w:sz w:val="20"/>
              </w:rPr>
            </w:pPr>
          </w:p>
        </w:tc>
      </w:tr>
      <w:tr>
        <w:trPr>
          <w:trHeight w:val="501" w:hRule="atLeast"/>
        </w:trPr>
        <w:tc>
          <w:tcPr>
            <w:tcW w:w="742" w:type="dxa"/>
            <w:vMerge w:val="restart"/>
          </w:tcPr>
          <w:p>
            <w:pPr>
              <w:pStyle w:val="TableParagraph"/>
              <w:rPr>
                <w:rFonts w:ascii="仿宋"/>
                <w:sz w:val="20"/>
              </w:rPr>
            </w:pPr>
          </w:p>
          <w:p>
            <w:pPr>
              <w:pStyle w:val="TableParagraph"/>
              <w:spacing w:before="7"/>
              <w:rPr>
                <w:rFonts w:ascii="仿宋"/>
                <w:sz w:val="23"/>
              </w:rPr>
            </w:pPr>
          </w:p>
          <w:p>
            <w:pPr>
              <w:pStyle w:val="TableParagraph"/>
              <w:spacing w:line="244" w:lineRule="auto"/>
              <w:ind w:left="160" w:right="148"/>
              <w:rPr>
                <w:sz w:val="21"/>
              </w:rPr>
            </w:pPr>
            <w:r>
              <w:rPr>
                <w:sz w:val="21"/>
              </w:rPr>
              <w:t>防火分隔</w:t>
            </w:r>
          </w:p>
        </w:tc>
        <w:tc>
          <w:tcPr>
            <w:tcW w:w="1443" w:type="dxa"/>
          </w:tcPr>
          <w:p>
            <w:pPr>
              <w:pStyle w:val="TableParagraph"/>
              <w:spacing w:before="110"/>
              <w:ind w:left="175" w:right="165"/>
              <w:jc w:val="center"/>
              <w:rPr>
                <w:sz w:val="21"/>
              </w:rPr>
            </w:pPr>
            <w:r>
              <w:rPr>
                <w:sz w:val="21"/>
              </w:rPr>
              <w:t>防火门</w:t>
            </w:r>
          </w:p>
        </w:tc>
        <w:tc>
          <w:tcPr>
            <w:tcW w:w="2975" w:type="dxa"/>
          </w:tcPr>
          <w:p>
            <w:pPr>
              <w:pStyle w:val="TableParagraph"/>
              <w:spacing w:before="110"/>
              <w:ind w:left="95" w:right="85"/>
              <w:jc w:val="center"/>
              <w:rPr>
                <w:sz w:val="21"/>
              </w:rPr>
            </w:pPr>
            <w:r>
              <w:rPr>
                <w:sz w:val="21"/>
              </w:rPr>
              <w:t>试验启闭功能</w:t>
            </w:r>
          </w:p>
        </w:tc>
        <w:tc>
          <w:tcPr>
            <w:tcW w:w="1304" w:type="dxa"/>
          </w:tcPr>
          <w:p>
            <w:pPr>
              <w:pStyle w:val="TableParagraph"/>
              <w:rPr>
                <w:rFonts w:ascii="Times New Roman"/>
                <w:sz w:val="20"/>
              </w:rPr>
            </w:pPr>
          </w:p>
        </w:tc>
      </w:tr>
      <w:tr>
        <w:trPr>
          <w:trHeight w:val="544" w:hRule="atLeast"/>
        </w:trPr>
        <w:tc>
          <w:tcPr>
            <w:tcW w:w="742" w:type="dxa"/>
            <w:vMerge/>
            <w:tcBorders>
              <w:top w:val="nil"/>
            </w:tcBorders>
          </w:tcPr>
          <w:p>
            <w:pPr>
              <w:rPr>
                <w:sz w:val="2"/>
                <w:szCs w:val="2"/>
              </w:rPr>
            </w:pPr>
          </w:p>
        </w:tc>
        <w:tc>
          <w:tcPr>
            <w:tcW w:w="1443" w:type="dxa"/>
          </w:tcPr>
          <w:p>
            <w:pPr>
              <w:pStyle w:val="TableParagraph"/>
              <w:spacing w:before="131"/>
              <w:ind w:left="175" w:right="167"/>
              <w:jc w:val="center"/>
              <w:rPr>
                <w:sz w:val="21"/>
              </w:rPr>
            </w:pPr>
            <w:r>
              <w:rPr>
                <w:sz w:val="21"/>
              </w:rPr>
              <w:t>防火卷帘</w:t>
            </w:r>
          </w:p>
        </w:tc>
        <w:tc>
          <w:tcPr>
            <w:tcW w:w="2975" w:type="dxa"/>
          </w:tcPr>
          <w:p>
            <w:pPr>
              <w:pStyle w:val="TableParagraph"/>
              <w:spacing w:line="264" w:lineRule="exact"/>
              <w:ind w:left="97" w:right="85"/>
              <w:jc w:val="center"/>
              <w:rPr>
                <w:sz w:val="21"/>
              </w:rPr>
            </w:pPr>
            <w:r>
              <w:rPr>
                <w:sz w:val="21"/>
              </w:rPr>
              <w:t>试验手动、机械应急和自动控</w:t>
            </w:r>
          </w:p>
          <w:p>
            <w:pPr>
              <w:pStyle w:val="TableParagraph"/>
              <w:spacing w:line="256" w:lineRule="exact" w:before="4"/>
              <w:ind w:left="95" w:right="85"/>
              <w:jc w:val="center"/>
              <w:rPr>
                <w:sz w:val="21"/>
              </w:rPr>
            </w:pPr>
            <w:r>
              <w:rPr>
                <w:sz w:val="21"/>
              </w:rPr>
              <w:t>制功能</w:t>
            </w:r>
          </w:p>
        </w:tc>
        <w:tc>
          <w:tcPr>
            <w:tcW w:w="1304" w:type="dxa"/>
          </w:tcPr>
          <w:p>
            <w:pPr>
              <w:pStyle w:val="TableParagraph"/>
              <w:rPr>
                <w:rFonts w:ascii="Times New Roman"/>
                <w:sz w:val="20"/>
              </w:rPr>
            </w:pPr>
          </w:p>
        </w:tc>
      </w:tr>
      <w:tr>
        <w:trPr>
          <w:trHeight w:val="606" w:hRule="atLeast"/>
        </w:trPr>
        <w:tc>
          <w:tcPr>
            <w:tcW w:w="742" w:type="dxa"/>
            <w:vMerge/>
            <w:tcBorders>
              <w:top w:val="nil"/>
            </w:tcBorders>
          </w:tcPr>
          <w:p>
            <w:pPr>
              <w:rPr>
                <w:sz w:val="2"/>
                <w:szCs w:val="2"/>
              </w:rPr>
            </w:pPr>
          </w:p>
        </w:tc>
        <w:tc>
          <w:tcPr>
            <w:tcW w:w="1443" w:type="dxa"/>
          </w:tcPr>
          <w:p>
            <w:pPr>
              <w:pStyle w:val="TableParagraph"/>
              <w:spacing w:before="162"/>
              <w:ind w:left="175" w:right="167"/>
              <w:jc w:val="center"/>
              <w:rPr>
                <w:sz w:val="21"/>
              </w:rPr>
            </w:pPr>
            <w:r>
              <w:rPr>
                <w:sz w:val="21"/>
              </w:rPr>
              <w:t>电动防火阀</w:t>
            </w:r>
          </w:p>
        </w:tc>
        <w:tc>
          <w:tcPr>
            <w:tcW w:w="2975" w:type="dxa"/>
          </w:tcPr>
          <w:p>
            <w:pPr>
              <w:pStyle w:val="TableParagraph"/>
              <w:spacing w:before="162"/>
              <w:ind w:left="98" w:right="85"/>
              <w:jc w:val="center"/>
              <w:rPr>
                <w:sz w:val="21"/>
              </w:rPr>
            </w:pPr>
            <w:r>
              <w:rPr>
                <w:sz w:val="21"/>
              </w:rPr>
              <w:t>试验联动关闭功能</w:t>
            </w:r>
          </w:p>
        </w:tc>
        <w:tc>
          <w:tcPr>
            <w:tcW w:w="1304" w:type="dxa"/>
          </w:tcPr>
          <w:p>
            <w:pPr>
              <w:pStyle w:val="TableParagraph"/>
              <w:rPr>
                <w:rFonts w:ascii="Times New Roman"/>
                <w:sz w:val="20"/>
              </w:rPr>
            </w:pPr>
          </w:p>
        </w:tc>
      </w:tr>
      <w:tr>
        <w:trPr>
          <w:trHeight w:val="575" w:hRule="atLeast"/>
        </w:trPr>
        <w:tc>
          <w:tcPr>
            <w:tcW w:w="2185" w:type="dxa"/>
            <w:gridSpan w:val="2"/>
          </w:tcPr>
          <w:p>
            <w:pPr>
              <w:pStyle w:val="TableParagraph"/>
              <w:spacing w:before="145"/>
              <w:ind w:left="671"/>
              <w:rPr>
                <w:sz w:val="21"/>
              </w:rPr>
            </w:pPr>
            <w:r>
              <w:rPr>
                <w:sz w:val="21"/>
              </w:rPr>
              <w:t>应急照明</w:t>
            </w:r>
          </w:p>
        </w:tc>
        <w:tc>
          <w:tcPr>
            <w:tcW w:w="2975" w:type="dxa"/>
          </w:tcPr>
          <w:p>
            <w:pPr>
              <w:pStyle w:val="TableParagraph"/>
              <w:spacing w:before="145"/>
              <w:ind w:left="103" w:right="79"/>
              <w:jc w:val="center"/>
              <w:rPr>
                <w:sz w:val="21"/>
              </w:rPr>
            </w:pPr>
            <w:r>
              <w:rPr>
                <w:sz w:val="21"/>
              </w:rPr>
              <w:t>试验切断正常供电，测量照度</w:t>
            </w:r>
          </w:p>
        </w:tc>
        <w:tc>
          <w:tcPr>
            <w:tcW w:w="1304" w:type="dxa"/>
          </w:tcPr>
          <w:p>
            <w:pPr>
              <w:pStyle w:val="TableParagraph"/>
              <w:rPr>
                <w:rFonts w:ascii="Times New Roman"/>
                <w:sz w:val="20"/>
              </w:rPr>
            </w:pPr>
          </w:p>
        </w:tc>
      </w:tr>
      <w:tr>
        <w:trPr>
          <w:trHeight w:val="561" w:hRule="atLeast"/>
        </w:trPr>
        <w:tc>
          <w:tcPr>
            <w:tcW w:w="2185" w:type="dxa"/>
            <w:gridSpan w:val="2"/>
          </w:tcPr>
          <w:p>
            <w:pPr>
              <w:pStyle w:val="TableParagraph"/>
              <w:spacing w:before="141"/>
              <w:ind w:left="460"/>
              <w:rPr>
                <w:sz w:val="21"/>
              </w:rPr>
            </w:pPr>
            <w:r>
              <w:rPr>
                <w:sz w:val="21"/>
              </w:rPr>
              <w:t>疏散指示标志</w:t>
            </w:r>
          </w:p>
        </w:tc>
        <w:tc>
          <w:tcPr>
            <w:tcW w:w="2975" w:type="dxa"/>
          </w:tcPr>
          <w:p>
            <w:pPr>
              <w:pStyle w:val="TableParagraph"/>
              <w:spacing w:before="141"/>
              <w:ind w:left="97" w:right="85"/>
              <w:jc w:val="center"/>
              <w:rPr>
                <w:sz w:val="21"/>
              </w:rPr>
            </w:pPr>
            <w:r>
              <w:rPr>
                <w:sz w:val="21"/>
              </w:rPr>
              <w:t>试验切断正常供电，测量照度</w:t>
            </w:r>
          </w:p>
        </w:tc>
        <w:tc>
          <w:tcPr>
            <w:tcW w:w="1304" w:type="dxa"/>
          </w:tcPr>
          <w:p>
            <w:pPr>
              <w:pStyle w:val="TableParagraph"/>
              <w:rPr>
                <w:rFonts w:ascii="Times New Roman"/>
                <w:sz w:val="20"/>
              </w:rPr>
            </w:pPr>
          </w:p>
        </w:tc>
      </w:tr>
      <w:tr>
        <w:trPr>
          <w:trHeight w:val="561" w:hRule="atLeast"/>
        </w:trPr>
        <w:tc>
          <w:tcPr>
            <w:tcW w:w="2185" w:type="dxa"/>
            <w:gridSpan w:val="2"/>
          </w:tcPr>
          <w:p>
            <w:pPr>
              <w:pStyle w:val="TableParagraph"/>
              <w:spacing w:before="138"/>
              <w:ind w:left="671"/>
              <w:rPr>
                <w:sz w:val="21"/>
              </w:rPr>
            </w:pPr>
            <w:r>
              <w:rPr>
                <w:sz w:val="21"/>
              </w:rPr>
              <w:t>消防电梯</w:t>
            </w:r>
          </w:p>
        </w:tc>
        <w:tc>
          <w:tcPr>
            <w:tcW w:w="2975" w:type="dxa"/>
          </w:tcPr>
          <w:p>
            <w:pPr>
              <w:pStyle w:val="TableParagraph"/>
              <w:spacing w:before="138"/>
              <w:ind w:left="97" w:right="85"/>
              <w:jc w:val="center"/>
              <w:rPr>
                <w:sz w:val="21"/>
              </w:rPr>
            </w:pPr>
            <w:r>
              <w:rPr>
                <w:sz w:val="21"/>
              </w:rPr>
              <w:t>试验按钮迫降和联动控制功能</w:t>
            </w:r>
          </w:p>
        </w:tc>
        <w:tc>
          <w:tcPr>
            <w:tcW w:w="1304" w:type="dxa"/>
          </w:tcPr>
          <w:p>
            <w:pPr>
              <w:pStyle w:val="TableParagraph"/>
              <w:rPr>
                <w:rFonts w:ascii="Times New Roman"/>
                <w:sz w:val="20"/>
              </w:rPr>
            </w:pPr>
          </w:p>
        </w:tc>
      </w:tr>
      <w:tr>
        <w:trPr>
          <w:trHeight w:val="556" w:hRule="atLeast"/>
        </w:trPr>
        <w:tc>
          <w:tcPr>
            <w:tcW w:w="742" w:type="dxa"/>
            <w:vMerge w:val="restart"/>
          </w:tcPr>
          <w:p>
            <w:pPr>
              <w:pStyle w:val="TableParagraph"/>
              <w:spacing w:before="12"/>
              <w:rPr>
                <w:rFonts w:ascii="仿宋"/>
                <w:sz w:val="22"/>
              </w:rPr>
            </w:pPr>
          </w:p>
          <w:p>
            <w:pPr>
              <w:pStyle w:val="TableParagraph"/>
              <w:spacing w:line="242" w:lineRule="auto"/>
              <w:ind w:left="160" w:right="148"/>
              <w:jc w:val="center"/>
              <w:rPr>
                <w:sz w:val="21"/>
              </w:rPr>
            </w:pPr>
            <w:r>
              <w:rPr>
                <w:spacing w:val="-10"/>
                <w:sz w:val="21"/>
              </w:rPr>
              <w:t>消防</w:t>
            </w:r>
            <w:r>
              <w:rPr>
                <w:sz w:val="21"/>
              </w:rPr>
              <w:t>供 </w:t>
            </w:r>
            <w:r>
              <w:rPr>
                <w:spacing w:val="-10"/>
                <w:sz w:val="21"/>
              </w:rPr>
              <w:t>电配</w:t>
            </w:r>
            <w:r>
              <w:rPr>
                <w:sz w:val="21"/>
              </w:rPr>
              <w:t>电</w:t>
            </w:r>
          </w:p>
        </w:tc>
        <w:tc>
          <w:tcPr>
            <w:tcW w:w="1443" w:type="dxa"/>
          </w:tcPr>
          <w:p>
            <w:pPr>
              <w:pStyle w:val="TableParagraph"/>
              <w:spacing w:before="136"/>
              <w:ind w:left="175" w:right="167"/>
              <w:jc w:val="center"/>
              <w:rPr>
                <w:sz w:val="21"/>
              </w:rPr>
            </w:pPr>
            <w:r>
              <w:rPr>
                <w:sz w:val="21"/>
              </w:rPr>
              <w:t>消防配电</w:t>
            </w:r>
          </w:p>
        </w:tc>
        <w:tc>
          <w:tcPr>
            <w:tcW w:w="2975" w:type="dxa"/>
          </w:tcPr>
          <w:p>
            <w:pPr>
              <w:pStyle w:val="TableParagraph"/>
              <w:spacing w:before="136"/>
              <w:ind w:left="94" w:right="85"/>
              <w:jc w:val="center"/>
              <w:rPr>
                <w:sz w:val="21"/>
              </w:rPr>
            </w:pPr>
            <w:r>
              <w:rPr>
                <w:sz w:val="21"/>
              </w:rPr>
              <w:t>试验主、备电切换功能</w:t>
            </w:r>
          </w:p>
        </w:tc>
        <w:tc>
          <w:tcPr>
            <w:tcW w:w="1304" w:type="dxa"/>
          </w:tcPr>
          <w:p>
            <w:pPr>
              <w:pStyle w:val="TableParagraph"/>
              <w:rPr>
                <w:rFonts w:ascii="Times New Roman"/>
                <w:sz w:val="20"/>
              </w:rPr>
            </w:pPr>
          </w:p>
        </w:tc>
      </w:tr>
      <w:tr>
        <w:trPr>
          <w:trHeight w:val="556" w:hRule="atLeast"/>
        </w:trPr>
        <w:tc>
          <w:tcPr>
            <w:tcW w:w="742" w:type="dxa"/>
            <w:vMerge/>
            <w:tcBorders>
              <w:top w:val="nil"/>
            </w:tcBorders>
          </w:tcPr>
          <w:p>
            <w:pPr>
              <w:rPr>
                <w:sz w:val="2"/>
                <w:szCs w:val="2"/>
              </w:rPr>
            </w:pPr>
          </w:p>
        </w:tc>
        <w:tc>
          <w:tcPr>
            <w:tcW w:w="1443" w:type="dxa"/>
          </w:tcPr>
          <w:p>
            <w:pPr>
              <w:pStyle w:val="TableParagraph"/>
              <w:spacing w:before="136"/>
              <w:ind w:left="175" w:right="167"/>
              <w:jc w:val="center"/>
              <w:rPr>
                <w:sz w:val="21"/>
              </w:rPr>
            </w:pPr>
            <w:r>
              <w:rPr>
                <w:sz w:val="21"/>
              </w:rPr>
              <w:t>自备发电机</w:t>
            </w:r>
          </w:p>
        </w:tc>
        <w:tc>
          <w:tcPr>
            <w:tcW w:w="2975" w:type="dxa"/>
          </w:tcPr>
          <w:p>
            <w:pPr>
              <w:pStyle w:val="TableParagraph"/>
              <w:spacing w:before="136"/>
              <w:ind w:left="98" w:right="85"/>
              <w:jc w:val="center"/>
              <w:rPr>
                <w:sz w:val="21"/>
              </w:rPr>
            </w:pPr>
            <w:r>
              <w:rPr>
                <w:sz w:val="21"/>
              </w:rPr>
              <w:t>试验启动发电机组</w:t>
            </w:r>
          </w:p>
        </w:tc>
        <w:tc>
          <w:tcPr>
            <w:tcW w:w="1304" w:type="dxa"/>
          </w:tcPr>
          <w:p>
            <w:pPr>
              <w:pStyle w:val="TableParagraph"/>
              <w:rPr>
                <w:rFonts w:ascii="Times New Roman"/>
                <w:sz w:val="20"/>
              </w:rPr>
            </w:pPr>
          </w:p>
        </w:tc>
      </w:tr>
      <w:tr>
        <w:trPr>
          <w:trHeight w:val="557" w:hRule="atLeast"/>
        </w:trPr>
        <w:tc>
          <w:tcPr>
            <w:tcW w:w="742" w:type="dxa"/>
            <w:vMerge/>
            <w:tcBorders>
              <w:top w:val="nil"/>
            </w:tcBorders>
          </w:tcPr>
          <w:p>
            <w:pPr>
              <w:rPr>
                <w:sz w:val="2"/>
                <w:szCs w:val="2"/>
              </w:rPr>
            </w:pPr>
          </w:p>
        </w:tc>
        <w:tc>
          <w:tcPr>
            <w:tcW w:w="1443" w:type="dxa"/>
          </w:tcPr>
          <w:p>
            <w:pPr>
              <w:pStyle w:val="TableParagraph"/>
              <w:spacing w:before="136"/>
              <w:ind w:left="175" w:right="167"/>
              <w:jc w:val="center"/>
              <w:rPr>
                <w:sz w:val="21"/>
              </w:rPr>
            </w:pPr>
            <w:r>
              <w:rPr>
                <w:sz w:val="21"/>
              </w:rPr>
              <w:t>储油设施</w:t>
            </w:r>
          </w:p>
        </w:tc>
        <w:tc>
          <w:tcPr>
            <w:tcW w:w="2975" w:type="dxa"/>
          </w:tcPr>
          <w:p>
            <w:pPr>
              <w:pStyle w:val="TableParagraph"/>
              <w:spacing w:before="136"/>
              <w:ind w:left="97" w:right="85"/>
              <w:jc w:val="center"/>
              <w:rPr>
                <w:sz w:val="21"/>
              </w:rPr>
            </w:pPr>
            <w:r>
              <w:rPr>
                <w:sz w:val="21"/>
              </w:rPr>
              <w:t>核对储油量</w:t>
            </w:r>
          </w:p>
        </w:tc>
        <w:tc>
          <w:tcPr>
            <w:tcW w:w="1304" w:type="dxa"/>
          </w:tcPr>
          <w:p>
            <w:pPr>
              <w:pStyle w:val="TableParagraph"/>
              <w:rPr>
                <w:rFonts w:ascii="Times New Roman"/>
                <w:sz w:val="20"/>
              </w:rPr>
            </w:pPr>
          </w:p>
        </w:tc>
      </w:tr>
      <w:tr>
        <w:trPr>
          <w:trHeight w:val="553" w:hRule="atLeast"/>
        </w:trPr>
        <w:tc>
          <w:tcPr>
            <w:tcW w:w="742" w:type="dxa"/>
            <w:vMerge w:val="restart"/>
          </w:tcPr>
          <w:p>
            <w:pPr>
              <w:pStyle w:val="TableParagraph"/>
              <w:spacing w:line="242" w:lineRule="auto" w:before="28"/>
              <w:ind w:left="160" w:right="148"/>
              <w:jc w:val="center"/>
              <w:rPr>
                <w:sz w:val="21"/>
              </w:rPr>
            </w:pPr>
            <w:r>
              <w:rPr>
                <w:spacing w:val="-10"/>
                <w:sz w:val="21"/>
              </w:rPr>
              <w:t>气体</w:t>
            </w:r>
            <w:r>
              <w:rPr>
                <w:sz w:val="21"/>
              </w:rPr>
              <w:t>灭 </w:t>
            </w:r>
            <w:r>
              <w:rPr>
                <w:spacing w:val="-10"/>
                <w:sz w:val="21"/>
              </w:rPr>
              <w:t>火系</w:t>
            </w:r>
            <w:r>
              <w:rPr>
                <w:sz w:val="21"/>
              </w:rPr>
              <w:t>统</w:t>
            </w:r>
          </w:p>
        </w:tc>
        <w:tc>
          <w:tcPr>
            <w:tcW w:w="1443" w:type="dxa"/>
          </w:tcPr>
          <w:p>
            <w:pPr>
              <w:pStyle w:val="TableParagraph"/>
              <w:spacing w:before="136"/>
              <w:ind w:left="175" w:right="167"/>
              <w:jc w:val="center"/>
              <w:rPr>
                <w:sz w:val="21"/>
              </w:rPr>
            </w:pPr>
            <w:r>
              <w:rPr>
                <w:sz w:val="21"/>
              </w:rPr>
              <w:t>瓶组与储罐</w:t>
            </w:r>
          </w:p>
        </w:tc>
        <w:tc>
          <w:tcPr>
            <w:tcW w:w="2975" w:type="dxa"/>
          </w:tcPr>
          <w:p>
            <w:pPr>
              <w:pStyle w:val="TableParagraph"/>
              <w:spacing w:before="136"/>
              <w:ind w:left="98" w:right="85"/>
              <w:jc w:val="center"/>
              <w:rPr>
                <w:sz w:val="21"/>
              </w:rPr>
            </w:pPr>
            <w:r>
              <w:rPr>
                <w:sz w:val="21"/>
              </w:rPr>
              <w:t>核对灭火剂储存量</w:t>
            </w:r>
          </w:p>
        </w:tc>
        <w:tc>
          <w:tcPr>
            <w:tcW w:w="1304" w:type="dxa"/>
          </w:tcPr>
          <w:p>
            <w:pPr>
              <w:pStyle w:val="TableParagraph"/>
              <w:rPr>
                <w:rFonts w:ascii="Times New Roman"/>
                <w:sz w:val="20"/>
              </w:rPr>
            </w:pPr>
          </w:p>
        </w:tc>
      </w:tr>
      <w:tr>
        <w:trPr>
          <w:trHeight w:val="592" w:hRule="atLeast"/>
        </w:trPr>
        <w:tc>
          <w:tcPr>
            <w:tcW w:w="742" w:type="dxa"/>
            <w:vMerge/>
            <w:tcBorders>
              <w:top w:val="nil"/>
            </w:tcBorders>
          </w:tcPr>
          <w:p>
            <w:pPr>
              <w:rPr>
                <w:sz w:val="2"/>
                <w:szCs w:val="2"/>
              </w:rPr>
            </w:pPr>
          </w:p>
        </w:tc>
        <w:tc>
          <w:tcPr>
            <w:tcW w:w="1443" w:type="dxa"/>
          </w:tcPr>
          <w:p>
            <w:pPr>
              <w:pStyle w:val="TableParagraph"/>
              <w:spacing w:line="244" w:lineRule="auto" w:before="18"/>
              <w:ind w:left="404" w:right="183" w:hanging="212"/>
              <w:rPr>
                <w:sz w:val="21"/>
              </w:rPr>
            </w:pPr>
            <w:r>
              <w:rPr>
                <w:sz w:val="21"/>
              </w:rPr>
              <w:t>气体灭火控制设备</w:t>
            </w:r>
          </w:p>
        </w:tc>
        <w:tc>
          <w:tcPr>
            <w:tcW w:w="2975" w:type="dxa"/>
          </w:tcPr>
          <w:p>
            <w:pPr>
              <w:pStyle w:val="TableParagraph"/>
              <w:spacing w:line="244" w:lineRule="auto" w:before="18"/>
              <w:ind w:left="962" w:right="107" w:hanging="841"/>
              <w:rPr>
                <w:sz w:val="21"/>
              </w:rPr>
            </w:pPr>
            <w:r>
              <w:rPr>
                <w:sz w:val="21"/>
              </w:rPr>
              <w:t>模拟自动启动，试验切断空调等相关联动</w:t>
            </w:r>
          </w:p>
        </w:tc>
        <w:tc>
          <w:tcPr>
            <w:tcW w:w="1304" w:type="dxa"/>
          </w:tcPr>
          <w:p>
            <w:pPr>
              <w:pStyle w:val="TableParagraph"/>
              <w:rPr>
                <w:rFonts w:ascii="Times New Roman"/>
                <w:sz w:val="20"/>
              </w:rPr>
            </w:pPr>
          </w:p>
        </w:tc>
      </w:tr>
    </w:tbl>
    <w:p>
      <w:pPr>
        <w:spacing w:after="0"/>
        <w:rPr>
          <w:rFonts w:ascii="Times New Roman"/>
          <w:sz w:val="20"/>
        </w:rPr>
        <w:sectPr>
          <w:pgSz w:w="8400" w:h="11910"/>
          <w:pgMar w:header="0" w:footer="834" w:top="1020" w:bottom="940" w:left="720" w:right="720"/>
        </w:sect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2"/>
        <w:gridCol w:w="1443"/>
        <w:gridCol w:w="908"/>
        <w:gridCol w:w="2067"/>
        <w:gridCol w:w="1304"/>
      </w:tblGrid>
      <w:tr>
        <w:trPr>
          <w:trHeight w:val="556" w:hRule="atLeast"/>
        </w:trPr>
        <w:tc>
          <w:tcPr>
            <w:tcW w:w="742" w:type="dxa"/>
            <w:tcBorders>
              <w:bottom w:val="nil"/>
            </w:tcBorders>
          </w:tcPr>
          <w:p>
            <w:pPr>
              <w:pStyle w:val="TableParagraph"/>
              <w:spacing w:line="270" w:lineRule="atLeast" w:before="10"/>
              <w:ind w:left="263" w:right="148" w:hanging="104"/>
              <w:rPr>
                <w:sz w:val="21"/>
              </w:rPr>
            </w:pPr>
            <w:r>
              <w:rPr>
                <w:sz w:val="21"/>
              </w:rPr>
              <w:t>泡沫灭</w:t>
            </w:r>
          </w:p>
        </w:tc>
        <w:tc>
          <w:tcPr>
            <w:tcW w:w="1443" w:type="dxa"/>
          </w:tcPr>
          <w:p>
            <w:pPr>
              <w:pStyle w:val="TableParagraph"/>
              <w:spacing w:before="139"/>
              <w:ind w:left="175" w:right="165"/>
              <w:jc w:val="center"/>
              <w:rPr>
                <w:sz w:val="21"/>
              </w:rPr>
            </w:pPr>
            <w:r>
              <w:rPr>
                <w:sz w:val="21"/>
              </w:rPr>
              <w:t>泡沫栓</w:t>
            </w:r>
          </w:p>
        </w:tc>
        <w:tc>
          <w:tcPr>
            <w:tcW w:w="2975" w:type="dxa"/>
            <w:gridSpan w:val="2"/>
          </w:tcPr>
          <w:p>
            <w:pPr>
              <w:pStyle w:val="TableParagraph"/>
              <w:spacing w:before="2"/>
              <w:ind w:left="97" w:right="85"/>
              <w:jc w:val="center"/>
              <w:rPr>
                <w:sz w:val="21"/>
              </w:rPr>
            </w:pPr>
            <w:r>
              <w:rPr>
                <w:sz w:val="21"/>
              </w:rPr>
              <w:t>核对泡沫栓有效期和</w:t>
            </w:r>
          </w:p>
          <w:p>
            <w:pPr>
              <w:pStyle w:val="TableParagraph"/>
              <w:spacing w:line="263" w:lineRule="exact" w:before="2"/>
              <w:ind w:left="95" w:right="85"/>
              <w:jc w:val="center"/>
              <w:rPr>
                <w:sz w:val="21"/>
              </w:rPr>
            </w:pPr>
            <w:r>
              <w:rPr>
                <w:sz w:val="21"/>
              </w:rPr>
              <w:t>储存量</w:t>
            </w:r>
          </w:p>
        </w:tc>
        <w:tc>
          <w:tcPr>
            <w:tcW w:w="1304" w:type="dxa"/>
          </w:tcPr>
          <w:p>
            <w:pPr>
              <w:pStyle w:val="TableParagraph"/>
              <w:rPr>
                <w:rFonts w:ascii="Times New Roman"/>
                <w:sz w:val="20"/>
              </w:rPr>
            </w:pPr>
          </w:p>
        </w:tc>
      </w:tr>
      <w:tr>
        <w:trPr>
          <w:trHeight w:val="556" w:hRule="atLeast"/>
        </w:trPr>
        <w:tc>
          <w:tcPr>
            <w:tcW w:w="742" w:type="dxa"/>
            <w:tcBorders>
              <w:top w:val="nil"/>
            </w:tcBorders>
          </w:tcPr>
          <w:p>
            <w:pPr>
              <w:pStyle w:val="TableParagraph"/>
              <w:spacing w:line="259" w:lineRule="exact"/>
              <w:ind w:left="105" w:right="94"/>
              <w:jc w:val="center"/>
              <w:rPr>
                <w:sz w:val="21"/>
              </w:rPr>
            </w:pPr>
            <w:r>
              <w:rPr>
                <w:sz w:val="21"/>
              </w:rPr>
              <w:t>火系</w:t>
            </w:r>
          </w:p>
          <w:p>
            <w:pPr>
              <w:pStyle w:val="TableParagraph"/>
              <w:spacing w:before="4"/>
              <w:ind w:left="6"/>
              <w:jc w:val="center"/>
              <w:rPr>
                <w:sz w:val="21"/>
              </w:rPr>
            </w:pPr>
            <w:r>
              <w:rPr>
                <w:w w:val="100"/>
                <w:sz w:val="21"/>
              </w:rPr>
              <w:t>统</w:t>
            </w:r>
          </w:p>
        </w:tc>
        <w:tc>
          <w:tcPr>
            <w:tcW w:w="1443" w:type="dxa"/>
          </w:tcPr>
          <w:p>
            <w:pPr>
              <w:pStyle w:val="TableParagraph"/>
              <w:spacing w:before="138"/>
              <w:ind w:left="175" w:right="167"/>
              <w:jc w:val="center"/>
              <w:rPr>
                <w:sz w:val="21"/>
              </w:rPr>
            </w:pPr>
            <w:r>
              <w:rPr>
                <w:sz w:val="21"/>
              </w:rPr>
              <w:t>泡沫液贮罐</w:t>
            </w:r>
          </w:p>
        </w:tc>
        <w:tc>
          <w:tcPr>
            <w:tcW w:w="2975" w:type="dxa"/>
            <w:gridSpan w:val="2"/>
          </w:tcPr>
          <w:p>
            <w:pPr>
              <w:pStyle w:val="TableParagraph"/>
              <w:spacing w:before="138"/>
              <w:ind w:left="330"/>
              <w:rPr>
                <w:sz w:val="21"/>
              </w:rPr>
            </w:pPr>
            <w:r>
              <w:rPr>
                <w:sz w:val="21"/>
              </w:rPr>
              <w:t>实验泡沫栓出水和出泡沫</w:t>
            </w:r>
          </w:p>
        </w:tc>
        <w:tc>
          <w:tcPr>
            <w:tcW w:w="1304" w:type="dxa"/>
          </w:tcPr>
          <w:p>
            <w:pPr>
              <w:pStyle w:val="TableParagraph"/>
              <w:rPr>
                <w:rFonts w:ascii="Times New Roman"/>
                <w:sz w:val="20"/>
              </w:rPr>
            </w:pPr>
          </w:p>
        </w:tc>
      </w:tr>
      <w:tr>
        <w:trPr>
          <w:trHeight w:val="556" w:hRule="atLeast"/>
        </w:trPr>
        <w:tc>
          <w:tcPr>
            <w:tcW w:w="742" w:type="dxa"/>
            <w:vMerge w:val="restart"/>
          </w:tcPr>
          <w:p>
            <w:pPr>
              <w:pStyle w:val="TableParagraph"/>
              <w:spacing w:line="242" w:lineRule="auto" w:before="11"/>
              <w:ind w:left="160" w:right="148"/>
              <w:jc w:val="center"/>
              <w:rPr>
                <w:sz w:val="21"/>
              </w:rPr>
            </w:pPr>
            <w:r>
              <w:rPr>
                <w:spacing w:val="-10"/>
                <w:sz w:val="21"/>
              </w:rPr>
              <w:t>应急</w:t>
            </w:r>
            <w:r>
              <w:rPr>
                <w:sz w:val="21"/>
              </w:rPr>
              <w:t>广 </w:t>
            </w:r>
            <w:r>
              <w:rPr>
                <w:spacing w:val="-10"/>
                <w:sz w:val="21"/>
              </w:rPr>
              <w:t>播系</w:t>
            </w:r>
            <w:r>
              <w:rPr>
                <w:sz w:val="21"/>
              </w:rPr>
              <w:t>统</w:t>
            </w:r>
          </w:p>
        </w:tc>
        <w:tc>
          <w:tcPr>
            <w:tcW w:w="1443" w:type="dxa"/>
          </w:tcPr>
          <w:p>
            <w:pPr>
              <w:pStyle w:val="TableParagraph"/>
              <w:spacing w:before="136"/>
              <w:ind w:left="175" w:right="165"/>
              <w:jc w:val="center"/>
              <w:rPr>
                <w:sz w:val="21"/>
              </w:rPr>
            </w:pPr>
            <w:r>
              <w:rPr>
                <w:sz w:val="21"/>
              </w:rPr>
              <w:t>扩音器</w:t>
            </w:r>
          </w:p>
        </w:tc>
        <w:tc>
          <w:tcPr>
            <w:tcW w:w="2975" w:type="dxa"/>
            <w:gridSpan w:val="2"/>
          </w:tcPr>
          <w:p>
            <w:pPr>
              <w:pStyle w:val="TableParagraph"/>
              <w:spacing w:before="136"/>
              <w:ind w:left="121"/>
              <w:rPr>
                <w:sz w:val="21"/>
              </w:rPr>
            </w:pPr>
            <w:r>
              <w:rPr>
                <w:sz w:val="21"/>
              </w:rPr>
              <w:t>试验联动启动和强制切换功能</w:t>
            </w:r>
          </w:p>
        </w:tc>
        <w:tc>
          <w:tcPr>
            <w:tcW w:w="1304" w:type="dxa"/>
          </w:tcPr>
          <w:p>
            <w:pPr>
              <w:pStyle w:val="TableParagraph"/>
              <w:rPr>
                <w:rFonts w:ascii="Times New Roman"/>
                <w:sz w:val="20"/>
              </w:rPr>
            </w:pPr>
          </w:p>
        </w:tc>
      </w:tr>
      <w:tr>
        <w:trPr>
          <w:trHeight w:val="556" w:hRule="atLeast"/>
        </w:trPr>
        <w:tc>
          <w:tcPr>
            <w:tcW w:w="742" w:type="dxa"/>
            <w:vMerge/>
            <w:tcBorders>
              <w:top w:val="nil"/>
            </w:tcBorders>
          </w:tcPr>
          <w:p>
            <w:pPr>
              <w:rPr>
                <w:sz w:val="2"/>
                <w:szCs w:val="2"/>
              </w:rPr>
            </w:pPr>
          </w:p>
        </w:tc>
        <w:tc>
          <w:tcPr>
            <w:tcW w:w="1443" w:type="dxa"/>
          </w:tcPr>
          <w:p>
            <w:pPr>
              <w:pStyle w:val="TableParagraph"/>
              <w:spacing w:before="136"/>
              <w:ind w:left="175" w:right="165"/>
              <w:jc w:val="center"/>
              <w:rPr>
                <w:sz w:val="21"/>
              </w:rPr>
            </w:pPr>
            <w:r>
              <w:rPr>
                <w:sz w:val="21"/>
              </w:rPr>
              <w:t>扬声器</w:t>
            </w:r>
          </w:p>
        </w:tc>
        <w:tc>
          <w:tcPr>
            <w:tcW w:w="2975" w:type="dxa"/>
            <w:gridSpan w:val="2"/>
          </w:tcPr>
          <w:p>
            <w:pPr>
              <w:pStyle w:val="TableParagraph"/>
              <w:spacing w:before="136"/>
              <w:ind w:left="750"/>
              <w:rPr>
                <w:sz w:val="21"/>
              </w:rPr>
            </w:pPr>
            <w:r>
              <w:rPr>
                <w:sz w:val="21"/>
              </w:rPr>
              <w:t>测试音量、音质</w:t>
            </w:r>
          </w:p>
        </w:tc>
        <w:tc>
          <w:tcPr>
            <w:tcW w:w="1304" w:type="dxa"/>
          </w:tcPr>
          <w:p>
            <w:pPr>
              <w:pStyle w:val="TableParagraph"/>
              <w:rPr>
                <w:rFonts w:ascii="Times New Roman"/>
                <w:sz w:val="20"/>
              </w:rPr>
            </w:pPr>
          </w:p>
        </w:tc>
      </w:tr>
      <w:tr>
        <w:trPr>
          <w:trHeight w:val="604" w:hRule="atLeast"/>
        </w:trPr>
        <w:tc>
          <w:tcPr>
            <w:tcW w:w="2185" w:type="dxa"/>
            <w:gridSpan w:val="2"/>
          </w:tcPr>
          <w:p>
            <w:pPr>
              <w:pStyle w:val="TableParagraph"/>
              <w:spacing w:before="160"/>
              <w:ind w:left="460"/>
              <w:rPr>
                <w:sz w:val="21"/>
              </w:rPr>
            </w:pPr>
            <w:r>
              <w:rPr>
                <w:sz w:val="21"/>
              </w:rPr>
              <w:t>消防专用电话</w:t>
            </w:r>
          </w:p>
        </w:tc>
        <w:tc>
          <w:tcPr>
            <w:tcW w:w="2975" w:type="dxa"/>
            <w:gridSpan w:val="2"/>
          </w:tcPr>
          <w:p>
            <w:pPr>
              <w:pStyle w:val="TableParagraph"/>
              <w:spacing w:before="160"/>
              <w:ind w:left="856"/>
              <w:rPr>
                <w:sz w:val="21"/>
              </w:rPr>
            </w:pPr>
            <w:r>
              <w:rPr>
                <w:sz w:val="21"/>
              </w:rPr>
              <w:t>试验通话质量</w:t>
            </w:r>
          </w:p>
        </w:tc>
        <w:tc>
          <w:tcPr>
            <w:tcW w:w="1304" w:type="dxa"/>
          </w:tcPr>
          <w:p>
            <w:pPr>
              <w:pStyle w:val="TableParagraph"/>
              <w:rPr>
                <w:rFonts w:ascii="Times New Roman"/>
                <w:sz w:val="20"/>
              </w:rPr>
            </w:pPr>
          </w:p>
        </w:tc>
      </w:tr>
      <w:tr>
        <w:trPr>
          <w:trHeight w:val="657" w:hRule="atLeast"/>
        </w:trPr>
        <w:tc>
          <w:tcPr>
            <w:tcW w:w="2185" w:type="dxa"/>
            <w:gridSpan w:val="2"/>
          </w:tcPr>
          <w:p>
            <w:pPr>
              <w:pStyle w:val="TableParagraph"/>
              <w:spacing w:before="10"/>
              <w:rPr>
                <w:rFonts w:ascii="仿宋"/>
                <w:sz w:val="14"/>
              </w:rPr>
            </w:pPr>
          </w:p>
          <w:p>
            <w:pPr>
              <w:pStyle w:val="TableParagraph"/>
              <w:ind w:left="756" w:right="748"/>
              <w:jc w:val="center"/>
              <w:rPr>
                <w:sz w:val="21"/>
              </w:rPr>
            </w:pPr>
            <w:r>
              <w:rPr>
                <w:sz w:val="21"/>
              </w:rPr>
              <w:t>灭火器</w:t>
            </w:r>
          </w:p>
        </w:tc>
        <w:tc>
          <w:tcPr>
            <w:tcW w:w="2975" w:type="dxa"/>
            <w:gridSpan w:val="2"/>
          </w:tcPr>
          <w:p>
            <w:pPr>
              <w:pStyle w:val="TableParagraph"/>
              <w:spacing w:before="10"/>
              <w:rPr>
                <w:rFonts w:ascii="仿宋"/>
                <w:sz w:val="14"/>
              </w:rPr>
            </w:pPr>
          </w:p>
          <w:p>
            <w:pPr>
              <w:pStyle w:val="TableParagraph"/>
              <w:ind w:left="330"/>
              <w:rPr>
                <w:sz w:val="21"/>
              </w:rPr>
            </w:pPr>
            <w:r>
              <w:rPr>
                <w:sz w:val="21"/>
              </w:rPr>
              <w:t>核对选型、压力和有效期</w:t>
            </w:r>
          </w:p>
        </w:tc>
        <w:tc>
          <w:tcPr>
            <w:tcW w:w="1304" w:type="dxa"/>
          </w:tcPr>
          <w:p>
            <w:pPr>
              <w:pStyle w:val="TableParagraph"/>
              <w:rPr>
                <w:rFonts w:ascii="Times New Roman"/>
                <w:sz w:val="20"/>
              </w:rPr>
            </w:pPr>
          </w:p>
        </w:tc>
      </w:tr>
      <w:tr>
        <w:trPr>
          <w:trHeight w:val="1418" w:hRule="atLeast"/>
        </w:trPr>
        <w:tc>
          <w:tcPr>
            <w:tcW w:w="2185" w:type="dxa"/>
            <w:gridSpan w:val="2"/>
          </w:tcPr>
          <w:p>
            <w:pPr>
              <w:pStyle w:val="TableParagraph"/>
              <w:rPr>
                <w:rFonts w:ascii="仿宋"/>
                <w:sz w:val="20"/>
              </w:rPr>
            </w:pPr>
          </w:p>
          <w:p>
            <w:pPr>
              <w:pStyle w:val="TableParagraph"/>
              <w:spacing w:before="4"/>
              <w:rPr>
                <w:rFonts w:ascii="仿宋"/>
                <w:sz w:val="24"/>
              </w:rPr>
            </w:pPr>
          </w:p>
          <w:p>
            <w:pPr>
              <w:pStyle w:val="TableParagraph"/>
              <w:ind w:left="671"/>
              <w:rPr>
                <w:sz w:val="21"/>
              </w:rPr>
            </w:pPr>
            <w:r>
              <w:rPr>
                <w:sz w:val="21"/>
              </w:rPr>
              <w:t>其他设施</w:t>
            </w:r>
          </w:p>
        </w:tc>
        <w:tc>
          <w:tcPr>
            <w:tcW w:w="4279" w:type="dxa"/>
            <w:gridSpan w:val="3"/>
          </w:tcPr>
          <w:p>
            <w:pPr>
              <w:pStyle w:val="TableParagraph"/>
              <w:rPr>
                <w:rFonts w:ascii="Times New Roman"/>
                <w:sz w:val="20"/>
              </w:rPr>
            </w:pPr>
          </w:p>
        </w:tc>
      </w:tr>
      <w:tr>
        <w:trPr>
          <w:trHeight w:val="1679" w:hRule="atLeast"/>
        </w:trPr>
        <w:tc>
          <w:tcPr>
            <w:tcW w:w="3093" w:type="dxa"/>
            <w:gridSpan w:val="3"/>
          </w:tcPr>
          <w:p>
            <w:pPr>
              <w:pStyle w:val="TableParagraph"/>
              <w:spacing w:before="16"/>
              <w:ind w:left="107"/>
              <w:rPr>
                <w:sz w:val="21"/>
              </w:rPr>
            </w:pPr>
            <w:r>
              <w:rPr>
                <w:sz w:val="21"/>
              </w:rPr>
              <w:t>测试人或维保人(签名)：</w:t>
            </w:r>
          </w:p>
          <w:p>
            <w:pPr>
              <w:pStyle w:val="TableParagraph"/>
              <w:rPr>
                <w:rFonts w:ascii="仿宋"/>
                <w:sz w:val="20"/>
              </w:rPr>
            </w:pPr>
          </w:p>
          <w:p>
            <w:pPr>
              <w:pStyle w:val="TableParagraph"/>
              <w:rPr>
                <w:rFonts w:ascii="仿宋"/>
                <w:sz w:val="20"/>
              </w:rPr>
            </w:pPr>
          </w:p>
          <w:p>
            <w:pPr>
              <w:pStyle w:val="TableParagraph"/>
              <w:spacing w:before="1"/>
              <w:rPr>
                <w:rFonts w:ascii="仿宋"/>
                <w:sz w:val="24"/>
              </w:rPr>
            </w:pPr>
          </w:p>
          <w:p>
            <w:pPr>
              <w:pStyle w:val="TableParagraph"/>
              <w:ind w:left="2628"/>
              <w:rPr>
                <w:sz w:val="21"/>
              </w:rPr>
            </w:pPr>
            <w:r>
              <w:rPr>
                <w:w w:val="100"/>
                <w:sz w:val="21"/>
              </w:rPr>
              <w:t>年</w:t>
            </w:r>
          </w:p>
          <w:p>
            <w:pPr>
              <w:pStyle w:val="TableParagraph"/>
              <w:tabs>
                <w:tab w:pos="950" w:val="left" w:leader="none"/>
              </w:tabs>
              <w:spacing w:before="4"/>
              <w:ind w:left="107"/>
              <w:rPr>
                <w:sz w:val="21"/>
              </w:rPr>
            </w:pPr>
            <w:r>
              <w:rPr>
                <w:sz w:val="21"/>
              </w:rPr>
              <w:t>月</w:t>
              <w:tab/>
              <w:t>日</w:t>
            </w:r>
          </w:p>
        </w:tc>
        <w:tc>
          <w:tcPr>
            <w:tcW w:w="3371" w:type="dxa"/>
            <w:gridSpan w:val="2"/>
          </w:tcPr>
          <w:p>
            <w:pPr>
              <w:pStyle w:val="TableParagraph"/>
              <w:spacing w:before="16"/>
              <w:ind w:left="106"/>
              <w:rPr>
                <w:sz w:val="21"/>
              </w:rPr>
            </w:pPr>
            <w:r>
              <w:rPr>
                <w:sz w:val="21"/>
              </w:rPr>
              <w:t>测试单位或维保单位(盖章)：</w:t>
            </w:r>
          </w:p>
          <w:p>
            <w:pPr>
              <w:pStyle w:val="TableParagraph"/>
              <w:rPr>
                <w:rFonts w:ascii="仿宋"/>
                <w:sz w:val="20"/>
              </w:rPr>
            </w:pPr>
          </w:p>
          <w:p>
            <w:pPr>
              <w:pStyle w:val="TableParagraph"/>
              <w:rPr>
                <w:rFonts w:ascii="仿宋"/>
                <w:sz w:val="20"/>
              </w:rPr>
            </w:pPr>
          </w:p>
          <w:p>
            <w:pPr>
              <w:pStyle w:val="TableParagraph"/>
              <w:spacing w:before="1"/>
              <w:rPr>
                <w:rFonts w:ascii="仿宋"/>
                <w:sz w:val="24"/>
              </w:rPr>
            </w:pPr>
          </w:p>
          <w:p>
            <w:pPr>
              <w:pStyle w:val="TableParagraph"/>
              <w:ind w:left="2841"/>
              <w:rPr>
                <w:sz w:val="21"/>
              </w:rPr>
            </w:pPr>
            <w:r>
              <w:rPr>
                <w:w w:val="100"/>
                <w:sz w:val="21"/>
              </w:rPr>
              <w:t>年</w:t>
            </w:r>
          </w:p>
          <w:p>
            <w:pPr>
              <w:pStyle w:val="TableParagraph"/>
              <w:tabs>
                <w:tab w:pos="949" w:val="left" w:leader="none"/>
              </w:tabs>
              <w:spacing w:before="4"/>
              <w:ind w:left="106"/>
              <w:rPr>
                <w:sz w:val="21"/>
              </w:rPr>
            </w:pPr>
            <w:r>
              <w:rPr>
                <w:sz w:val="21"/>
              </w:rPr>
              <w:t>月</w:t>
              <w:tab/>
              <w:t>日</w:t>
            </w:r>
          </w:p>
        </w:tc>
      </w:tr>
      <w:tr>
        <w:trPr>
          <w:trHeight w:val="1721" w:hRule="atLeast"/>
        </w:trPr>
        <w:tc>
          <w:tcPr>
            <w:tcW w:w="6464" w:type="dxa"/>
            <w:gridSpan w:val="5"/>
          </w:tcPr>
          <w:p>
            <w:pPr>
              <w:pStyle w:val="TableParagraph"/>
              <w:spacing w:before="172"/>
              <w:ind w:left="107"/>
              <w:rPr>
                <w:sz w:val="21"/>
              </w:rPr>
            </w:pPr>
            <w:r>
              <w:rPr>
                <w:sz w:val="21"/>
              </w:rPr>
              <w:t>消防安全责任人或消防安全管理人(签名)：</w:t>
            </w:r>
          </w:p>
          <w:p>
            <w:pPr>
              <w:pStyle w:val="TableParagraph"/>
              <w:rPr>
                <w:rFonts w:ascii="仿宋"/>
                <w:sz w:val="20"/>
              </w:rPr>
            </w:pPr>
          </w:p>
          <w:p>
            <w:pPr>
              <w:pStyle w:val="TableParagraph"/>
              <w:rPr>
                <w:rFonts w:ascii="仿宋"/>
                <w:sz w:val="20"/>
              </w:rPr>
            </w:pPr>
          </w:p>
          <w:p>
            <w:pPr>
              <w:pStyle w:val="TableParagraph"/>
              <w:rPr>
                <w:rFonts w:ascii="仿宋"/>
                <w:sz w:val="24"/>
              </w:rPr>
            </w:pPr>
          </w:p>
          <w:p>
            <w:pPr>
              <w:pStyle w:val="TableParagraph"/>
              <w:tabs>
                <w:tab w:pos="950" w:val="left" w:leader="none"/>
                <w:tab w:pos="1790" w:val="left" w:leader="none"/>
              </w:tabs>
              <w:ind w:left="107"/>
              <w:rPr>
                <w:sz w:val="21"/>
              </w:rPr>
            </w:pPr>
            <w:r>
              <w:rPr>
                <w:sz w:val="21"/>
              </w:rPr>
              <w:t>年</w:t>
              <w:tab/>
              <w:t>月</w:t>
              <w:tab/>
              <w:t>日</w:t>
            </w:r>
          </w:p>
        </w:tc>
      </w:tr>
    </w:tbl>
    <w:p>
      <w:pPr>
        <w:spacing w:line="242" w:lineRule="auto" w:before="0"/>
        <w:ind w:left="1111" w:right="301" w:hanging="449"/>
        <w:jc w:val="left"/>
        <w:rPr>
          <w:sz w:val="21"/>
        </w:rPr>
      </w:pPr>
      <w:r>
        <w:rPr>
          <w:rFonts w:ascii="黑体" w:hAnsi="黑体" w:eastAsia="黑体" w:hint="eastAsia"/>
          <w:sz w:val="18"/>
        </w:rPr>
        <w:t>注1：</w:t>
      </w:r>
      <w:r>
        <w:rPr>
          <w:sz w:val="21"/>
        </w:rPr>
        <w:t>情况正常的打“√”，存在问题或故障的打“×”，并写明故障详细情况；</w:t>
      </w:r>
    </w:p>
    <w:p>
      <w:pPr>
        <w:spacing w:line="242" w:lineRule="auto" w:before="0"/>
        <w:ind w:left="1111" w:right="301" w:hanging="449"/>
        <w:jc w:val="left"/>
        <w:rPr>
          <w:sz w:val="21"/>
        </w:rPr>
      </w:pPr>
      <w:r>
        <w:rPr>
          <w:rFonts w:ascii="黑体" w:eastAsia="黑体" w:hint="eastAsia"/>
          <w:sz w:val="18"/>
        </w:rPr>
        <w:t>注2：</w:t>
      </w:r>
      <w:r>
        <w:rPr>
          <w:sz w:val="21"/>
        </w:rPr>
        <w:t>对发现的问题应及时处理，不能及时处置的要填报《建筑消防设施故障处理记录》。</w:t>
      </w:r>
    </w:p>
    <w:p>
      <w:pPr>
        <w:spacing w:after="0" w:line="242" w:lineRule="auto"/>
        <w:jc w:val="left"/>
        <w:rPr>
          <w:sz w:val="21"/>
        </w:rPr>
        <w:sectPr>
          <w:pgSz w:w="8400" w:h="11910"/>
          <w:pgMar w:header="0" w:footer="875" w:top="1020" w:bottom="1060" w:left="720" w:right="720"/>
        </w:sectPr>
      </w:pPr>
    </w:p>
    <w:p>
      <w:pPr>
        <w:pStyle w:val="Heading1"/>
        <w:spacing w:before="33"/>
        <w:ind w:left="1209" w:right="1209"/>
      </w:pPr>
      <w:r>
        <w:rPr/>
        <w:t>建筑消防设施每年联动检查记录表</w:t>
      </w:r>
    </w:p>
    <w:p>
      <w:pPr>
        <w:pStyle w:val="BodyText"/>
        <w:tabs>
          <w:tab w:pos="5692" w:val="left" w:leader="none"/>
          <w:tab w:pos="6412" w:val="left" w:leader="none"/>
        </w:tabs>
        <w:spacing w:before="120" w:after="20"/>
        <w:ind w:left="4491"/>
      </w:pPr>
      <w:r>
        <w:rPr/>
        <w:t>日期：</w:t>
      </w:r>
      <w:r>
        <w:rPr>
          <w:u w:val="single"/>
        </w:rPr>
        <w:t> </w:t>
        <w:tab/>
      </w:r>
      <w:r>
        <w:rPr/>
        <w:t>月</w:t>
      </w:r>
      <w:r>
        <w:rPr>
          <w:u w:val="single"/>
        </w:rPr>
        <w:t> </w:t>
        <w:tab/>
      </w:r>
      <w:r>
        <w:rPr/>
        <w:t>日</w:t>
      </w: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7"/>
        <w:gridCol w:w="1133"/>
        <w:gridCol w:w="427"/>
        <w:gridCol w:w="566"/>
        <w:gridCol w:w="567"/>
        <w:gridCol w:w="569"/>
        <w:gridCol w:w="708"/>
        <w:gridCol w:w="792"/>
      </w:tblGrid>
      <w:tr>
        <w:trPr>
          <w:trHeight w:val="412" w:hRule="atLeast"/>
        </w:trPr>
        <w:tc>
          <w:tcPr>
            <w:tcW w:w="1817" w:type="dxa"/>
          </w:tcPr>
          <w:p>
            <w:pPr>
              <w:pStyle w:val="TableParagraph"/>
              <w:spacing w:before="68"/>
              <w:ind w:left="33"/>
              <w:jc w:val="center"/>
              <w:rPr>
                <w:sz w:val="21"/>
              </w:rPr>
            </w:pPr>
            <w:r>
              <w:rPr>
                <w:sz w:val="21"/>
              </w:rPr>
              <w:t>建筑名称</w:t>
            </w:r>
          </w:p>
        </w:tc>
        <w:tc>
          <w:tcPr>
            <w:tcW w:w="2126" w:type="dxa"/>
            <w:gridSpan w:val="3"/>
          </w:tcPr>
          <w:p>
            <w:pPr>
              <w:pStyle w:val="TableParagraph"/>
              <w:rPr>
                <w:rFonts w:ascii="Times New Roman"/>
                <w:sz w:val="22"/>
              </w:rPr>
            </w:pPr>
          </w:p>
        </w:tc>
        <w:tc>
          <w:tcPr>
            <w:tcW w:w="567" w:type="dxa"/>
          </w:tcPr>
          <w:p>
            <w:pPr>
              <w:pStyle w:val="TableParagraph"/>
              <w:spacing w:before="68"/>
              <w:ind w:left="63" w:right="33"/>
              <w:jc w:val="center"/>
              <w:rPr>
                <w:sz w:val="21"/>
              </w:rPr>
            </w:pPr>
            <w:r>
              <w:rPr>
                <w:sz w:val="21"/>
              </w:rPr>
              <w:t>地址</w:t>
            </w:r>
          </w:p>
        </w:tc>
        <w:tc>
          <w:tcPr>
            <w:tcW w:w="2069" w:type="dxa"/>
            <w:gridSpan w:val="3"/>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使用性质</w:t>
            </w:r>
          </w:p>
        </w:tc>
        <w:tc>
          <w:tcPr>
            <w:tcW w:w="1133" w:type="dxa"/>
          </w:tcPr>
          <w:p>
            <w:pPr>
              <w:pStyle w:val="TableParagraph"/>
              <w:rPr>
                <w:rFonts w:ascii="Times New Roman"/>
                <w:sz w:val="22"/>
              </w:rPr>
            </w:pPr>
          </w:p>
        </w:tc>
        <w:tc>
          <w:tcPr>
            <w:tcW w:w="427" w:type="dxa"/>
          </w:tcPr>
          <w:p>
            <w:pPr>
              <w:pStyle w:val="TableParagraph"/>
              <w:spacing w:before="68"/>
              <w:ind w:left="14" w:right="-29"/>
              <w:rPr>
                <w:sz w:val="21"/>
              </w:rPr>
            </w:pPr>
            <w:r>
              <w:rPr>
                <w:spacing w:val="-6"/>
                <w:sz w:val="21"/>
              </w:rPr>
              <w:t>层数</w:t>
            </w:r>
          </w:p>
        </w:tc>
        <w:tc>
          <w:tcPr>
            <w:tcW w:w="566" w:type="dxa"/>
          </w:tcPr>
          <w:p>
            <w:pPr>
              <w:pStyle w:val="TableParagraph"/>
              <w:rPr>
                <w:rFonts w:ascii="Times New Roman"/>
                <w:sz w:val="22"/>
              </w:rPr>
            </w:pPr>
          </w:p>
        </w:tc>
        <w:tc>
          <w:tcPr>
            <w:tcW w:w="567" w:type="dxa"/>
          </w:tcPr>
          <w:p>
            <w:pPr>
              <w:pStyle w:val="TableParagraph"/>
              <w:spacing w:before="68"/>
              <w:ind w:left="63" w:right="33"/>
              <w:jc w:val="center"/>
              <w:rPr>
                <w:sz w:val="21"/>
              </w:rPr>
            </w:pPr>
            <w:r>
              <w:rPr>
                <w:sz w:val="21"/>
              </w:rPr>
              <w:t>高度</w:t>
            </w:r>
          </w:p>
        </w:tc>
        <w:tc>
          <w:tcPr>
            <w:tcW w:w="569" w:type="dxa"/>
          </w:tcPr>
          <w:p>
            <w:pPr>
              <w:pStyle w:val="TableParagraph"/>
              <w:rPr>
                <w:rFonts w:ascii="Times New Roman"/>
                <w:sz w:val="22"/>
              </w:rPr>
            </w:pPr>
          </w:p>
        </w:tc>
        <w:tc>
          <w:tcPr>
            <w:tcW w:w="708" w:type="dxa"/>
          </w:tcPr>
          <w:p>
            <w:pPr>
              <w:pStyle w:val="TableParagraph"/>
              <w:spacing w:before="68"/>
              <w:ind w:left="154"/>
              <w:rPr>
                <w:sz w:val="21"/>
              </w:rPr>
            </w:pPr>
            <w:r>
              <w:rPr>
                <w:sz w:val="21"/>
              </w:rPr>
              <w:t>面积</w:t>
            </w:r>
          </w:p>
        </w:tc>
        <w:tc>
          <w:tcPr>
            <w:tcW w:w="792" w:type="dxa"/>
          </w:tcPr>
          <w:p>
            <w:pPr>
              <w:pStyle w:val="TableParagraph"/>
              <w:rPr>
                <w:rFonts w:ascii="Times New Roman"/>
                <w:sz w:val="22"/>
              </w:rPr>
            </w:pPr>
          </w:p>
        </w:tc>
      </w:tr>
      <w:tr>
        <w:trPr>
          <w:trHeight w:val="410" w:hRule="atLeast"/>
        </w:trPr>
        <w:tc>
          <w:tcPr>
            <w:tcW w:w="1817" w:type="dxa"/>
          </w:tcPr>
          <w:p>
            <w:pPr>
              <w:pStyle w:val="TableParagraph"/>
              <w:spacing w:before="68"/>
              <w:ind w:left="33"/>
              <w:jc w:val="center"/>
              <w:rPr>
                <w:sz w:val="21"/>
              </w:rPr>
            </w:pPr>
            <w:r>
              <w:rPr>
                <w:sz w:val="21"/>
              </w:rPr>
              <w:t>使用管理单位名称</w:t>
            </w:r>
          </w:p>
        </w:tc>
        <w:tc>
          <w:tcPr>
            <w:tcW w:w="4762" w:type="dxa"/>
            <w:gridSpan w:val="7"/>
          </w:tcPr>
          <w:p>
            <w:pPr>
              <w:pStyle w:val="TableParagraph"/>
              <w:rPr>
                <w:rFonts w:ascii="Times New Roman"/>
                <w:sz w:val="22"/>
              </w:rPr>
            </w:pPr>
          </w:p>
        </w:tc>
      </w:tr>
      <w:tr>
        <w:trPr>
          <w:trHeight w:val="412" w:hRule="atLeast"/>
        </w:trPr>
        <w:tc>
          <w:tcPr>
            <w:tcW w:w="6579" w:type="dxa"/>
            <w:gridSpan w:val="8"/>
          </w:tcPr>
          <w:p>
            <w:pPr>
              <w:pStyle w:val="TableParagraph"/>
              <w:spacing w:before="68"/>
              <w:ind w:left="659"/>
              <w:rPr>
                <w:sz w:val="21"/>
              </w:rPr>
            </w:pPr>
            <w:r>
              <w:rPr>
                <w:sz w:val="21"/>
              </w:rPr>
              <w:t>建筑消防设施检查情况</w:t>
            </w:r>
          </w:p>
        </w:tc>
      </w:tr>
      <w:tr>
        <w:trPr>
          <w:trHeight w:val="412" w:hRule="atLeast"/>
        </w:trPr>
        <w:tc>
          <w:tcPr>
            <w:tcW w:w="1817" w:type="dxa"/>
          </w:tcPr>
          <w:p>
            <w:pPr>
              <w:pStyle w:val="TableParagraph"/>
              <w:tabs>
                <w:tab w:pos="558" w:val="left" w:leader="none"/>
              </w:tabs>
              <w:spacing w:before="68"/>
              <w:ind w:left="33"/>
              <w:jc w:val="center"/>
              <w:rPr>
                <w:sz w:val="21"/>
              </w:rPr>
            </w:pPr>
            <w:r>
              <w:rPr>
                <w:sz w:val="21"/>
              </w:rPr>
              <w:t>项</w:t>
              <w:tab/>
              <w:t>目</w:t>
            </w:r>
          </w:p>
        </w:tc>
        <w:tc>
          <w:tcPr>
            <w:tcW w:w="1133" w:type="dxa"/>
          </w:tcPr>
          <w:p>
            <w:pPr>
              <w:pStyle w:val="TableParagraph"/>
              <w:spacing w:before="68"/>
              <w:ind w:left="156"/>
              <w:rPr>
                <w:sz w:val="21"/>
              </w:rPr>
            </w:pPr>
            <w:r>
              <w:rPr>
                <w:sz w:val="21"/>
              </w:rPr>
              <w:t>检查结果</w:t>
            </w:r>
          </w:p>
        </w:tc>
        <w:tc>
          <w:tcPr>
            <w:tcW w:w="3629" w:type="dxa"/>
            <w:gridSpan w:val="6"/>
          </w:tcPr>
          <w:p>
            <w:pPr>
              <w:pStyle w:val="TableParagraph"/>
              <w:spacing w:before="68"/>
              <w:ind w:left="669"/>
              <w:rPr>
                <w:sz w:val="21"/>
              </w:rPr>
            </w:pPr>
            <w:r>
              <w:rPr>
                <w:sz w:val="21"/>
              </w:rPr>
              <w:t>存在问题或故障处理情况</w:t>
            </w:r>
          </w:p>
        </w:tc>
      </w:tr>
      <w:tr>
        <w:trPr>
          <w:trHeight w:val="413" w:hRule="atLeast"/>
        </w:trPr>
        <w:tc>
          <w:tcPr>
            <w:tcW w:w="1817" w:type="dxa"/>
          </w:tcPr>
          <w:p>
            <w:pPr>
              <w:pStyle w:val="TableParagraph"/>
              <w:spacing w:before="69"/>
              <w:ind w:left="31"/>
              <w:jc w:val="center"/>
              <w:rPr>
                <w:sz w:val="21"/>
              </w:rPr>
            </w:pPr>
            <w:r>
              <w:rPr>
                <w:sz w:val="21"/>
              </w:rPr>
              <w:t>火灾报警系统</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自动喷水灭火系统</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消火栓消防炮</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0" w:hRule="atLeast"/>
        </w:trPr>
        <w:tc>
          <w:tcPr>
            <w:tcW w:w="1817" w:type="dxa"/>
          </w:tcPr>
          <w:p>
            <w:pPr>
              <w:pStyle w:val="TableParagraph"/>
              <w:spacing w:before="68"/>
              <w:ind w:left="33"/>
              <w:jc w:val="center"/>
              <w:rPr>
                <w:sz w:val="21"/>
              </w:rPr>
            </w:pPr>
            <w:r>
              <w:rPr>
                <w:sz w:val="21"/>
              </w:rPr>
              <w:t>消防供水</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防排烟系统</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防火分隔</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应急照明</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疏散指示标志</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消防电梯</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0" w:hRule="atLeast"/>
        </w:trPr>
        <w:tc>
          <w:tcPr>
            <w:tcW w:w="1817" w:type="dxa"/>
          </w:tcPr>
          <w:p>
            <w:pPr>
              <w:pStyle w:val="TableParagraph"/>
              <w:spacing w:before="68"/>
              <w:ind w:left="33"/>
              <w:jc w:val="center"/>
              <w:rPr>
                <w:sz w:val="21"/>
              </w:rPr>
            </w:pPr>
            <w:r>
              <w:rPr>
                <w:sz w:val="21"/>
              </w:rPr>
              <w:t>消防供配电</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气体灭火系统</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泡沫灭火系统</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应急广播系统</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消防专用电话</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1"/>
              <w:jc w:val="center"/>
              <w:rPr>
                <w:sz w:val="21"/>
              </w:rPr>
            </w:pPr>
            <w:r>
              <w:rPr>
                <w:sz w:val="21"/>
              </w:rPr>
              <w:t>灭火器</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r>
        <w:trPr>
          <w:trHeight w:val="412" w:hRule="atLeast"/>
        </w:trPr>
        <w:tc>
          <w:tcPr>
            <w:tcW w:w="1817" w:type="dxa"/>
          </w:tcPr>
          <w:p>
            <w:pPr>
              <w:pStyle w:val="TableParagraph"/>
              <w:spacing w:before="68"/>
              <w:ind w:left="33"/>
              <w:jc w:val="center"/>
              <w:rPr>
                <w:sz w:val="21"/>
              </w:rPr>
            </w:pPr>
            <w:r>
              <w:rPr>
                <w:sz w:val="21"/>
              </w:rPr>
              <w:t>其他设施</w:t>
            </w:r>
          </w:p>
        </w:tc>
        <w:tc>
          <w:tcPr>
            <w:tcW w:w="1133" w:type="dxa"/>
          </w:tcPr>
          <w:p>
            <w:pPr>
              <w:pStyle w:val="TableParagraph"/>
              <w:rPr>
                <w:rFonts w:ascii="Times New Roman"/>
                <w:sz w:val="22"/>
              </w:rPr>
            </w:pPr>
          </w:p>
        </w:tc>
        <w:tc>
          <w:tcPr>
            <w:tcW w:w="3629" w:type="dxa"/>
            <w:gridSpan w:val="6"/>
          </w:tcPr>
          <w:p>
            <w:pPr>
              <w:pStyle w:val="TableParagraph"/>
              <w:rPr>
                <w:rFonts w:ascii="Times New Roman"/>
                <w:sz w:val="22"/>
              </w:rPr>
            </w:pPr>
          </w:p>
        </w:tc>
      </w:tr>
    </w:tbl>
    <w:p>
      <w:pPr>
        <w:spacing w:after="0"/>
        <w:rPr>
          <w:rFonts w:ascii="Times New Roman"/>
          <w:sz w:val="22"/>
        </w:rPr>
        <w:sectPr>
          <w:pgSz w:w="8400" w:h="11910"/>
          <w:pgMar w:header="0" w:footer="834" w:top="980" w:bottom="940" w:left="720" w:right="720"/>
        </w:sect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8"/>
        <w:gridCol w:w="3203"/>
      </w:tblGrid>
      <w:tr>
        <w:trPr>
          <w:trHeight w:val="1989" w:hRule="atLeast"/>
        </w:trPr>
        <w:tc>
          <w:tcPr>
            <w:tcW w:w="6581" w:type="dxa"/>
            <w:gridSpan w:val="2"/>
          </w:tcPr>
          <w:p>
            <w:pPr>
              <w:pStyle w:val="TableParagraph"/>
              <w:spacing w:before="11"/>
              <w:ind w:left="7"/>
              <w:rPr>
                <w:sz w:val="21"/>
              </w:rPr>
            </w:pPr>
            <w:r>
              <w:rPr>
                <w:sz w:val="21"/>
              </w:rPr>
              <w:t>检查说明：</w:t>
            </w:r>
          </w:p>
        </w:tc>
      </w:tr>
      <w:tr>
        <w:trPr>
          <w:trHeight w:val="2680" w:hRule="atLeast"/>
        </w:trPr>
        <w:tc>
          <w:tcPr>
            <w:tcW w:w="3378" w:type="dxa"/>
          </w:tcPr>
          <w:p>
            <w:pPr>
              <w:pStyle w:val="TableParagraph"/>
              <w:spacing w:before="114"/>
              <w:ind w:left="7"/>
              <w:rPr>
                <w:sz w:val="21"/>
              </w:rPr>
            </w:pPr>
            <w:r>
              <w:rPr>
                <w:sz w:val="21"/>
              </w:rPr>
              <w:t>检查人或维保评估人(签名)：</w:t>
            </w: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spacing w:before="8"/>
              <w:rPr>
                <w:rFonts w:ascii="仿宋"/>
                <w:sz w:val="27"/>
              </w:rPr>
            </w:pPr>
          </w:p>
          <w:p>
            <w:pPr>
              <w:pStyle w:val="TableParagraph"/>
              <w:tabs>
                <w:tab w:pos="2448" w:val="left" w:leader="none"/>
                <w:tab w:pos="2974" w:val="left" w:leader="none"/>
              </w:tabs>
              <w:ind w:left="1922"/>
              <w:rPr>
                <w:sz w:val="21"/>
              </w:rPr>
            </w:pPr>
            <w:r>
              <w:rPr>
                <w:sz w:val="21"/>
              </w:rPr>
              <w:t>年</w:t>
              <w:tab/>
              <w:t>月</w:t>
              <w:tab/>
              <w:t>日</w:t>
            </w:r>
          </w:p>
        </w:tc>
        <w:tc>
          <w:tcPr>
            <w:tcW w:w="3203" w:type="dxa"/>
          </w:tcPr>
          <w:p>
            <w:pPr>
              <w:pStyle w:val="TableParagraph"/>
              <w:spacing w:before="114"/>
              <w:ind w:left="4"/>
              <w:rPr>
                <w:sz w:val="21"/>
              </w:rPr>
            </w:pPr>
            <w:r>
              <w:rPr>
                <w:sz w:val="21"/>
              </w:rPr>
              <w:t>检查单位或维保评估单位(盖章)：</w:t>
            </w: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spacing w:before="8"/>
              <w:rPr>
                <w:rFonts w:ascii="仿宋"/>
                <w:sz w:val="27"/>
              </w:rPr>
            </w:pPr>
          </w:p>
          <w:p>
            <w:pPr>
              <w:pStyle w:val="TableParagraph"/>
              <w:tabs>
                <w:tab w:pos="2121" w:val="left" w:leader="none"/>
                <w:tab w:pos="2647" w:val="left" w:leader="none"/>
              </w:tabs>
              <w:ind w:left="1596"/>
              <w:rPr>
                <w:sz w:val="21"/>
              </w:rPr>
            </w:pPr>
            <w:r>
              <w:rPr>
                <w:sz w:val="21"/>
              </w:rPr>
              <w:t>年</w:t>
              <w:tab/>
              <w:t>月</w:t>
              <w:tab/>
              <w:t>日</w:t>
            </w:r>
          </w:p>
        </w:tc>
      </w:tr>
      <w:tr>
        <w:trPr>
          <w:trHeight w:val="3525" w:hRule="atLeast"/>
        </w:trPr>
        <w:tc>
          <w:tcPr>
            <w:tcW w:w="6581" w:type="dxa"/>
            <w:gridSpan w:val="2"/>
          </w:tcPr>
          <w:p>
            <w:pPr>
              <w:pStyle w:val="TableParagraph"/>
              <w:spacing w:before="2"/>
              <w:rPr>
                <w:rFonts w:ascii="仿宋"/>
                <w:sz w:val="23"/>
              </w:rPr>
            </w:pPr>
          </w:p>
          <w:p>
            <w:pPr>
              <w:pStyle w:val="TableParagraph"/>
              <w:ind w:left="7"/>
              <w:rPr>
                <w:sz w:val="21"/>
              </w:rPr>
            </w:pPr>
            <w:r>
              <w:rPr>
                <w:sz w:val="21"/>
              </w:rPr>
              <w:t>消防安全责任人或消防安全管理人(签名)：</w:t>
            </w: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rPr>
                <w:rFonts w:ascii="仿宋"/>
                <w:sz w:val="20"/>
              </w:rPr>
            </w:pPr>
          </w:p>
          <w:p>
            <w:pPr>
              <w:pStyle w:val="TableParagraph"/>
              <w:spacing w:before="1"/>
              <w:rPr>
                <w:rFonts w:ascii="仿宋"/>
                <w:sz w:val="25"/>
              </w:rPr>
            </w:pPr>
          </w:p>
          <w:p>
            <w:pPr>
              <w:pStyle w:val="TableParagraph"/>
              <w:tabs>
                <w:tab w:pos="525" w:val="left" w:leader="none"/>
                <w:tab w:pos="1051" w:val="left" w:leader="none"/>
              </w:tabs>
              <w:ind w:right="305"/>
              <w:jc w:val="right"/>
              <w:rPr>
                <w:sz w:val="21"/>
              </w:rPr>
            </w:pPr>
            <w:r>
              <w:rPr>
                <w:sz w:val="21"/>
              </w:rPr>
              <w:t>年</w:t>
              <w:tab/>
              <w:t>月</w:t>
              <w:tab/>
              <w:t>日</w:t>
            </w:r>
          </w:p>
        </w:tc>
      </w:tr>
    </w:tbl>
    <w:p>
      <w:pPr>
        <w:spacing w:before="6"/>
        <w:ind w:left="828" w:right="0" w:firstLine="0"/>
        <w:jc w:val="left"/>
        <w:rPr>
          <w:sz w:val="18"/>
        </w:rPr>
      </w:pPr>
      <w:r>
        <w:rPr>
          <w:rFonts w:ascii="黑体" w:hAnsi="黑体" w:eastAsia="黑体" w:hint="eastAsia"/>
          <w:sz w:val="18"/>
        </w:rPr>
        <w:t>注：</w:t>
      </w:r>
      <w:r>
        <w:rPr>
          <w:sz w:val="18"/>
        </w:rPr>
        <w:t>1、情况正常在“检查结果”栏中标注“正常”；</w:t>
      </w:r>
    </w:p>
    <w:p>
      <w:pPr>
        <w:spacing w:line="249" w:lineRule="auto" w:before="9"/>
        <w:ind w:left="1190" w:right="206" w:hanging="363"/>
        <w:jc w:val="both"/>
        <w:rPr>
          <w:sz w:val="18"/>
        </w:rPr>
      </w:pPr>
      <w:r>
        <w:rPr>
          <w:rFonts w:ascii="黑体" w:hAnsi="黑体" w:eastAsia="黑体" w:hint="eastAsia"/>
          <w:sz w:val="18"/>
        </w:rPr>
        <w:t>注：</w:t>
      </w:r>
      <w:r>
        <w:rPr>
          <w:sz w:val="18"/>
        </w:rPr>
        <w:t>2</w:t>
      </w:r>
      <w:r>
        <w:rPr>
          <w:spacing w:val="-13"/>
          <w:sz w:val="18"/>
        </w:rPr>
        <w:t>、发现的问题或存在故障应在“存在问题或故障处理情况”栏中填写， </w:t>
      </w:r>
      <w:r>
        <w:rPr>
          <w:spacing w:val="-5"/>
          <w:sz w:val="18"/>
        </w:rPr>
        <w:t>并及时处置；不能及时处置的要填报《建筑消防设施故障处理记录》； </w:t>
      </w:r>
      <w:r>
        <w:rPr>
          <w:sz w:val="18"/>
        </w:rPr>
        <w:t>其他需要说明的情况在“检查说明” 栏填写。</w:t>
      </w:r>
    </w:p>
    <w:p>
      <w:pPr>
        <w:spacing w:after="0" w:line="249" w:lineRule="auto"/>
        <w:jc w:val="both"/>
        <w:rPr>
          <w:sz w:val="18"/>
        </w:rPr>
        <w:sectPr>
          <w:pgSz w:w="8400" w:h="11910"/>
          <w:pgMar w:header="0" w:footer="875" w:top="1020" w:bottom="1060" w:left="720" w:right="720"/>
        </w:sectPr>
      </w:pPr>
    </w:p>
    <w:p>
      <w:pPr>
        <w:pStyle w:val="Heading1"/>
        <w:spacing w:before="33" w:after="8"/>
        <w:ind w:left="1524"/>
        <w:jc w:val="left"/>
      </w:pPr>
      <w:r>
        <w:rPr/>
        <w:t>建筑消防设施故障处理记录表</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588"/>
        <w:gridCol w:w="1157"/>
        <w:gridCol w:w="886"/>
        <w:gridCol w:w="869"/>
        <w:gridCol w:w="1383"/>
        <w:gridCol w:w="965"/>
      </w:tblGrid>
      <w:tr>
        <w:trPr>
          <w:trHeight w:val="1046" w:hRule="atLeast"/>
        </w:trPr>
        <w:tc>
          <w:tcPr>
            <w:tcW w:w="720" w:type="dxa"/>
          </w:tcPr>
          <w:p>
            <w:pPr>
              <w:pStyle w:val="TableParagraph"/>
              <w:spacing w:before="10"/>
              <w:rPr>
                <w:rFonts w:ascii="黑体"/>
                <w:sz w:val="21"/>
              </w:rPr>
            </w:pPr>
          </w:p>
          <w:p>
            <w:pPr>
              <w:pStyle w:val="TableParagraph"/>
              <w:spacing w:line="223" w:lineRule="auto"/>
              <w:ind w:left="148" w:right="138"/>
              <w:rPr>
                <w:sz w:val="21"/>
              </w:rPr>
            </w:pPr>
            <w:r>
              <w:rPr>
                <w:sz w:val="21"/>
              </w:rPr>
              <w:t>检查时间</w:t>
            </w:r>
          </w:p>
        </w:tc>
        <w:tc>
          <w:tcPr>
            <w:tcW w:w="588" w:type="dxa"/>
          </w:tcPr>
          <w:p>
            <w:pPr>
              <w:pStyle w:val="TableParagraph"/>
              <w:spacing w:line="223" w:lineRule="auto" w:before="155"/>
              <w:ind w:left="83" w:right="67" w:firstLine="2"/>
              <w:jc w:val="both"/>
              <w:rPr>
                <w:sz w:val="21"/>
              </w:rPr>
            </w:pPr>
            <w:r>
              <w:rPr>
                <w:sz w:val="21"/>
              </w:rPr>
              <w:t>检查人姓名</w:t>
            </w:r>
          </w:p>
        </w:tc>
        <w:tc>
          <w:tcPr>
            <w:tcW w:w="1157" w:type="dxa"/>
          </w:tcPr>
          <w:p>
            <w:pPr>
              <w:pStyle w:val="TableParagraph"/>
              <w:spacing w:before="10"/>
              <w:rPr>
                <w:rFonts w:ascii="黑体"/>
                <w:sz w:val="21"/>
              </w:rPr>
            </w:pPr>
          </w:p>
          <w:p>
            <w:pPr>
              <w:pStyle w:val="TableParagraph"/>
              <w:spacing w:line="223" w:lineRule="auto"/>
              <w:ind w:left="54" w:right="36" w:firstLine="106"/>
              <w:rPr>
                <w:sz w:val="21"/>
              </w:rPr>
            </w:pPr>
            <w:r>
              <w:rPr>
                <w:sz w:val="21"/>
              </w:rPr>
              <w:t>检查发现问题或故障</w:t>
            </w:r>
          </w:p>
        </w:tc>
        <w:tc>
          <w:tcPr>
            <w:tcW w:w="886" w:type="dxa"/>
          </w:tcPr>
          <w:p>
            <w:pPr>
              <w:pStyle w:val="TableParagraph"/>
              <w:spacing w:line="223" w:lineRule="auto" w:before="155"/>
              <w:ind w:left="24" w:right="7"/>
              <w:jc w:val="both"/>
              <w:rPr>
                <w:sz w:val="21"/>
              </w:rPr>
            </w:pPr>
            <w:r>
              <w:rPr>
                <w:sz w:val="21"/>
              </w:rPr>
              <w:t>消防安全管理人处理意见</w:t>
            </w:r>
          </w:p>
        </w:tc>
        <w:tc>
          <w:tcPr>
            <w:tcW w:w="869" w:type="dxa"/>
          </w:tcPr>
          <w:p>
            <w:pPr>
              <w:pStyle w:val="TableParagraph"/>
              <w:spacing w:line="223" w:lineRule="auto" w:before="27"/>
              <w:ind w:left="16" w:right="-15"/>
              <w:jc w:val="both"/>
              <w:rPr>
                <w:sz w:val="21"/>
              </w:rPr>
            </w:pPr>
            <w:r>
              <w:rPr>
                <w:spacing w:val="-1"/>
                <w:sz w:val="21"/>
              </w:rPr>
              <w:t>停用系统</w:t>
            </w:r>
            <w:r>
              <w:rPr>
                <w:spacing w:val="-2"/>
                <w:sz w:val="21"/>
              </w:rPr>
              <w:t>消防安全责任人</w:t>
            </w:r>
          </w:p>
          <w:p>
            <w:pPr>
              <w:pStyle w:val="TableParagraph"/>
              <w:spacing w:line="248" w:lineRule="exact"/>
              <w:ind w:left="225"/>
              <w:rPr>
                <w:sz w:val="21"/>
              </w:rPr>
            </w:pPr>
            <w:r>
              <w:rPr>
                <w:sz w:val="21"/>
              </w:rPr>
              <w:t>签名</w:t>
            </w:r>
          </w:p>
        </w:tc>
        <w:tc>
          <w:tcPr>
            <w:tcW w:w="1383" w:type="dxa"/>
          </w:tcPr>
          <w:p>
            <w:pPr>
              <w:pStyle w:val="TableParagraph"/>
              <w:spacing w:before="10"/>
              <w:rPr>
                <w:rFonts w:ascii="黑体"/>
                <w:sz w:val="21"/>
              </w:rPr>
            </w:pPr>
          </w:p>
          <w:p>
            <w:pPr>
              <w:pStyle w:val="TableParagraph"/>
              <w:spacing w:line="223" w:lineRule="auto"/>
              <w:ind w:left="271" w:right="151" w:hanging="107"/>
              <w:rPr>
                <w:sz w:val="21"/>
              </w:rPr>
            </w:pPr>
            <w:r>
              <w:rPr>
                <w:sz w:val="21"/>
              </w:rPr>
              <w:t>问题或故障处理结果</w:t>
            </w:r>
          </w:p>
        </w:tc>
        <w:tc>
          <w:tcPr>
            <w:tcW w:w="965" w:type="dxa"/>
          </w:tcPr>
          <w:p>
            <w:pPr>
              <w:pStyle w:val="TableParagraph"/>
              <w:spacing w:line="223" w:lineRule="auto" w:before="27"/>
              <w:ind w:left="62" w:right="48"/>
              <w:jc w:val="both"/>
              <w:rPr>
                <w:sz w:val="21"/>
              </w:rPr>
            </w:pPr>
            <w:r>
              <w:rPr>
                <w:spacing w:val="-5"/>
                <w:sz w:val="21"/>
              </w:rPr>
              <w:t>问题或故障排除消防安全管</w:t>
            </w:r>
          </w:p>
          <w:p>
            <w:pPr>
              <w:pStyle w:val="TableParagraph"/>
              <w:spacing w:line="248" w:lineRule="exact"/>
              <w:ind w:left="62"/>
              <w:rPr>
                <w:sz w:val="21"/>
              </w:rPr>
            </w:pPr>
            <w:r>
              <w:rPr>
                <w:spacing w:val="-1"/>
                <w:sz w:val="21"/>
              </w:rPr>
              <w:t>理人签名</w:t>
            </w:r>
          </w:p>
        </w:tc>
      </w:tr>
      <w:tr>
        <w:trPr>
          <w:trHeight w:val="894"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5"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4"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4"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5"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4"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7"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5"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r>
        <w:trPr>
          <w:trHeight w:val="894" w:hRule="atLeast"/>
        </w:trPr>
        <w:tc>
          <w:tcPr>
            <w:tcW w:w="720" w:type="dxa"/>
          </w:tcPr>
          <w:p>
            <w:pPr>
              <w:pStyle w:val="TableParagraph"/>
              <w:rPr>
                <w:rFonts w:ascii="Times New Roman"/>
                <w:sz w:val="22"/>
              </w:rPr>
            </w:pPr>
          </w:p>
        </w:tc>
        <w:tc>
          <w:tcPr>
            <w:tcW w:w="588" w:type="dxa"/>
          </w:tcPr>
          <w:p>
            <w:pPr>
              <w:pStyle w:val="TableParagraph"/>
              <w:rPr>
                <w:rFonts w:ascii="Times New Roman"/>
                <w:sz w:val="22"/>
              </w:rPr>
            </w:pPr>
          </w:p>
        </w:tc>
        <w:tc>
          <w:tcPr>
            <w:tcW w:w="1157" w:type="dxa"/>
          </w:tcPr>
          <w:p>
            <w:pPr>
              <w:pStyle w:val="TableParagraph"/>
              <w:rPr>
                <w:rFonts w:ascii="Times New Roman"/>
                <w:sz w:val="22"/>
              </w:rPr>
            </w:pPr>
          </w:p>
        </w:tc>
        <w:tc>
          <w:tcPr>
            <w:tcW w:w="886" w:type="dxa"/>
          </w:tcPr>
          <w:p>
            <w:pPr>
              <w:pStyle w:val="TableParagraph"/>
              <w:rPr>
                <w:rFonts w:ascii="Times New Roman"/>
                <w:sz w:val="22"/>
              </w:rPr>
            </w:pPr>
          </w:p>
        </w:tc>
        <w:tc>
          <w:tcPr>
            <w:tcW w:w="869" w:type="dxa"/>
          </w:tcPr>
          <w:p>
            <w:pPr>
              <w:pStyle w:val="TableParagraph"/>
              <w:rPr>
                <w:rFonts w:ascii="Times New Roman"/>
                <w:sz w:val="22"/>
              </w:rPr>
            </w:pPr>
          </w:p>
        </w:tc>
        <w:tc>
          <w:tcPr>
            <w:tcW w:w="1383" w:type="dxa"/>
          </w:tcPr>
          <w:p>
            <w:pPr>
              <w:pStyle w:val="TableParagraph"/>
              <w:rPr>
                <w:rFonts w:ascii="Times New Roman"/>
                <w:sz w:val="22"/>
              </w:rPr>
            </w:pPr>
          </w:p>
        </w:tc>
        <w:tc>
          <w:tcPr>
            <w:tcW w:w="965" w:type="dxa"/>
          </w:tcPr>
          <w:p>
            <w:pPr>
              <w:pStyle w:val="TableParagraph"/>
              <w:rPr>
                <w:rFonts w:ascii="Times New Roman"/>
                <w:sz w:val="22"/>
              </w:rPr>
            </w:pPr>
          </w:p>
        </w:tc>
      </w:tr>
    </w:tbl>
    <w:p>
      <w:pPr>
        <w:spacing w:after="0"/>
        <w:rPr>
          <w:rFonts w:ascii="Times New Roman"/>
          <w:sz w:val="22"/>
        </w:rPr>
        <w:sectPr>
          <w:pgSz w:w="8400" w:h="11910"/>
          <w:pgMar w:header="0" w:footer="834" w:top="980" w:bottom="1020" w:left="720" w:right="720"/>
        </w:sectPr>
      </w:pPr>
    </w:p>
    <w:p>
      <w:pPr>
        <w:pStyle w:val="BodyText"/>
        <w:spacing w:before="2"/>
        <w:ind w:left="0"/>
        <w:rPr>
          <w:rFonts w:ascii="黑体"/>
          <w:sz w:val="17"/>
        </w:rPr>
      </w:pPr>
    </w:p>
    <w:p>
      <w:pPr>
        <w:pStyle w:val="Heading2"/>
        <w:spacing w:before="62"/>
        <w:ind w:left="300"/>
        <w:jc w:val="left"/>
      </w:pPr>
      <w:bookmarkStart w:name="_bookmark25" w:id="26"/>
      <w:bookmarkEnd w:id="26"/>
      <w:r>
        <w:rPr>
          <w:b w:val="0"/>
        </w:rPr>
      </w:r>
      <w:r>
        <w:rPr/>
        <w:t>附件三：消防控制室值班微型消防站值班日记录本</w:t>
      </w:r>
    </w:p>
    <w:p>
      <w:pPr>
        <w:pStyle w:val="BodyText"/>
        <w:ind w:left="0"/>
        <w:rPr>
          <w:b/>
          <w:sz w:val="28"/>
        </w:rPr>
      </w:pPr>
    </w:p>
    <w:p>
      <w:pPr>
        <w:pStyle w:val="BodyText"/>
        <w:ind w:left="0"/>
        <w:rPr>
          <w:b/>
          <w:sz w:val="28"/>
        </w:rPr>
      </w:pPr>
    </w:p>
    <w:p>
      <w:pPr>
        <w:pStyle w:val="BodyText"/>
        <w:ind w:left="0"/>
        <w:rPr>
          <w:b/>
          <w:sz w:val="28"/>
        </w:rPr>
      </w:pPr>
    </w:p>
    <w:p>
      <w:pPr>
        <w:pStyle w:val="BodyText"/>
        <w:spacing w:before="5"/>
        <w:ind w:left="0"/>
        <w:rPr>
          <w:b/>
          <w:sz w:val="23"/>
        </w:rPr>
      </w:pPr>
    </w:p>
    <w:p>
      <w:pPr>
        <w:spacing w:line="213" w:lineRule="auto" w:before="1"/>
        <w:ind w:left="1935" w:right="1935" w:firstLine="0"/>
        <w:jc w:val="center"/>
        <w:rPr>
          <w:rFonts w:ascii="Arial Unicode MS" w:eastAsia="Arial Unicode MS" w:hint="eastAsia"/>
          <w:sz w:val="44"/>
        </w:rPr>
      </w:pPr>
      <w:r>
        <w:rPr>
          <w:rFonts w:ascii="Arial Unicode MS" w:eastAsia="Arial Unicode MS" w:hint="eastAsia"/>
          <w:sz w:val="44"/>
        </w:rPr>
        <w:t>消防控制室值班微型消防站值班日记录本</w:t>
      </w:r>
    </w:p>
    <w:p>
      <w:pPr>
        <w:pStyle w:val="BodyText"/>
        <w:ind w:left="0"/>
        <w:rPr>
          <w:rFonts w:ascii="Arial Unicode MS"/>
          <w:sz w:val="52"/>
        </w:rPr>
      </w:pPr>
    </w:p>
    <w:p>
      <w:pPr>
        <w:pStyle w:val="BodyText"/>
        <w:spacing w:before="12"/>
        <w:ind w:left="0"/>
        <w:rPr>
          <w:rFonts w:ascii="Arial Unicode MS"/>
          <w:sz w:val="30"/>
        </w:rPr>
      </w:pPr>
    </w:p>
    <w:p>
      <w:pPr>
        <w:tabs>
          <w:tab w:pos="3634" w:val="left" w:leader="none"/>
          <w:tab w:pos="4595" w:val="left" w:leader="none"/>
          <w:tab w:pos="5555" w:val="left" w:leader="none"/>
          <w:tab w:pos="5656" w:val="left" w:leader="none"/>
        </w:tabs>
        <w:spacing w:line="180" w:lineRule="auto" w:before="0"/>
        <w:ind w:left="1392" w:right="1076" w:hanging="132"/>
        <w:jc w:val="left"/>
        <w:rPr>
          <w:rFonts w:ascii="Arial Unicode MS" w:eastAsia="Arial Unicode MS" w:hint="eastAsia"/>
          <w:sz w:val="32"/>
        </w:rPr>
      </w:pPr>
      <w:r>
        <w:rPr>
          <w:rFonts w:ascii="Arial Unicode MS" w:eastAsia="Arial Unicode MS" w:hint="eastAsia"/>
          <w:w w:val="95"/>
          <w:sz w:val="32"/>
        </w:rPr>
        <w:t>单位名</w:t>
      </w:r>
      <w:r>
        <w:rPr>
          <w:rFonts w:ascii="Arial Unicode MS" w:eastAsia="Arial Unicode MS" w:hint="eastAsia"/>
          <w:spacing w:val="3"/>
          <w:w w:val="95"/>
          <w:sz w:val="32"/>
        </w:rPr>
        <w:t>称</w:t>
      </w:r>
      <w:r>
        <w:rPr>
          <w:rFonts w:ascii="Arial Unicode MS" w:eastAsia="Arial Unicode MS" w:hint="eastAsia"/>
          <w:spacing w:val="3"/>
          <w:w w:val="95"/>
          <w:sz w:val="32"/>
          <w:u w:val="single"/>
        </w:rPr>
        <w:tab/>
        <w:tab/>
        <w:tab/>
        <w:tab/>
      </w:r>
      <w:r>
        <w:rPr>
          <w:rFonts w:ascii="Arial Unicode MS" w:eastAsia="Arial Unicode MS" w:hint="eastAsia"/>
          <w:w w:val="95"/>
          <w:sz w:val="32"/>
          <w:u w:val="single"/>
        </w:rPr>
        <w:t>                                </w:t>
      </w:r>
      <w:r>
        <w:rPr>
          <w:rFonts w:ascii="Arial Unicode MS" w:eastAsia="Arial Unicode MS" w:hint="eastAsia"/>
          <w:sz w:val="32"/>
        </w:rPr>
        <w:t>启用时</w:t>
      </w:r>
      <w:r>
        <w:rPr>
          <w:rFonts w:ascii="Arial Unicode MS" w:eastAsia="Arial Unicode MS" w:hint="eastAsia"/>
          <w:spacing w:val="3"/>
          <w:sz w:val="32"/>
        </w:rPr>
        <w:t>间</w:t>
      </w:r>
      <w:r>
        <w:rPr>
          <w:rFonts w:ascii="Arial Unicode MS" w:eastAsia="Arial Unicode MS" w:hint="eastAsia"/>
          <w:spacing w:val="3"/>
          <w:sz w:val="32"/>
          <w:u w:val="single"/>
        </w:rPr>
        <w:t> </w:t>
        <w:tab/>
      </w:r>
      <w:r>
        <w:rPr>
          <w:rFonts w:ascii="Arial Unicode MS" w:eastAsia="Arial Unicode MS" w:hint="eastAsia"/>
          <w:sz w:val="32"/>
        </w:rPr>
        <w:t>年</w:t>
      </w:r>
      <w:r>
        <w:rPr>
          <w:rFonts w:ascii="Arial Unicode MS" w:eastAsia="Arial Unicode MS" w:hint="eastAsia"/>
          <w:sz w:val="32"/>
          <w:u w:val="single"/>
        </w:rPr>
        <w:t> </w:t>
        <w:tab/>
      </w:r>
      <w:r>
        <w:rPr>
          <w:rFonts w:ascii="Arial Unicode MS" w:eastAsia="Arial Unicode MS" w:hint="eastAsia"/>
          <w:sz w:val="32"/>
        </w:rPr>
        <w:t>月</w:t>
      </w:r>
      <w:r>
        <w:rPr>
          <w:rFonts w:ascii="Arial Unicode MS" w:eastAsia="Arial Unicode MS" w:hint="eastAsia"/>
          <w:sz w:val="32"/>
          <w:u w:val="single"/>
        </w:rPr>
        <w:t> </w:t>
        <w:tab/>
      </w:r>
      <w:r>
        <w:rPr>
          <w:rFonts w:ascii="Arial Unicode MS" w:eastAsia="Arial Unicode MS" w:hint="eastAsia"/>
          <w:spacing w:val="-18"/>
          <w:sz w:val="32"/>
        </w:rPr>
        <w:t>日</w:t>
      </w: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ind w:left="0"/>
        <w:rPr>
          <w:rFonts w:ascii="Arial Unicode MS"/>
          <w:sz w:val="20"/>
        </w:rPr>
      </w:pPr>
    </w:p>
    <w:p>
      <w:pPr>
        <w:pStyle w:val="BodyText"/>
        <w:spacing w:before="3"/>
        <w:ind w:left="0"/>
        <w:rPr>
          <w:rFonts w:ascii="Arial Unicode MS"/>
          <w:sz w:val="27"/>
        </w:rPr>
      </w:pPr>
    </w:p>
    <w:p>
      <w:pPr>
        <w:tabs>
          <w:tab w:pos="4914" w:val="left" w:leader="none"/>
        </w:tabs>
        <w:spacing w:line="213" w:lineRule="auto" w:before="47"/>
        <w:ind w:left="2585" w:right="1392" w:hanging="1191"/>
        <w:jc w:val="left"/>
        <w:rPr>
          <w:rFonts w:ascii="Arial Unicode MS" w:eastAsia="Arial Unicode MS" w:hint="eastAsia"/>
          <w:sz w:val="32"/>
        </w:rPr>
      </w:pPr>
      <w:r>
        <w:rPr>
          <w:rFonts w:ascii="Arial Unicode MS" w:eastAsia="Arial Unicode MS" w:hint="eastAsia"/>
          <w:sz w:val="32"/>
        </w:rPr>
        <w:t>张家界市消防救援支队</w:t>
        <w:tab/>
        <w:t>监</w:t>
      </w:r>
      <w:r>
        <w:rPr>
          <w:rFonts w:ascii="Arial Unicode MS" w:eastAsia="Arial Unicode MS" w:hint="eastAsia"/>
          <w:spacing w:val="-14"/>
          <w:sz w:val="32"/>
        </w:rPr>
        <w:t>制</w:t>
      </w:r>
      <w:r>
        <w:rPr>
          <w:rFonts w:ascii="Arial Unicode MS" w:eastAsia="Arial Unicode MS" w:hint="eastAsia"/>
          <w:sz w:val="32"/>
        </w:rPr>
        <w:t>二 O 二 O</w:t>
      </w:r>
      <w:r>
        <w:rPr>
          <w:rFonts w:ascii="Arial Unicode MS" w:eastAsia="Arial Unicode MS" w:hint="eastAsia"/>
          <w:spacing w:val="-39"/>
          <w:sz w:val="32"/>
        </w:rPr>
        <w:t> </w:t>
      </w:r>
      <w:r>
        <w:rPr>
          <w:rFonts w:ascii="Arial Unicode MS" w:eastAsia="Arial Unicode MS" w:hint="eastAsia"/>
          <w:sz w:val="32"/>
        </w:rPr>
        <w:t>年</w:t>
      </w:r>
    </w:p>
    <w:p>
      <w:pPr>
        <w:spacing w:after="0" w:line="213" w:lineRule="auto"/>
        <w:jc w:val="left"/>
        <w:rPr>
          <w:rFonts w:ascii="Arial Unicode MS" w:eastAsia="Arial Unicode MS" w:hint="eastAsia"/>
          <w:sz w:val="32"/>
        </w:rPr>
        <w:sectPr>
          <w:pgSz w:w="8400" w:h="11910"/>
          <w:pgMar w:header="0" w:footer="875" w:top="1100" w:bottom="1060" w:left="720" w:right="720"/>
        </w:sectPr>
      </w:pPr>
    </w:p>
    <w:p>
      <w:pPr>
        <w:spacing w:before="74"/>
        <w:ind w:left="1209" w:right="1209" w:firstLine="0"/>
        <w:jc w:val="center"/>
        <w:rPr>
          <w:b/>
          <w:sz w:val="32"/>
        </w:rPr>
      </w:pPr>
      <w:r>
        <w:rPr>
          <w:b/>
          <w:sz w:val="32"/>
        </w:rPr>
        <w:t>填 写 说 明</w:t>
      </w:r>
    </w:p>
    <w:p>
      <w:pPr>
        <w:pStyle w:val="BodyText"/>
        <w:spacing w:line="280" w:lineRule="auto" w:before="255"/>
        <w:ind w:left="300" w:right="249" w:firstLine="439"/>
        <w:jc w:val="both"/>
      </w:pPr>
      <w:r>
        <w:rPr>
          <w:spacing w:val="-8"/>
        </w:rPr>
        <w:t>1</w:t>
      </w:r>
      <w:r>
        <w:rPr>
          <w:spacing w:val="-17"/>
        </w:rPr>
        <w:t>、消防控制室值班记录表、微型消防站值班记录表均为每日</w:t>
      </w:r>
      <w:r>
        <w:rPr>
          <w:spacing w:val="-22"/>
        </w:rPr>
        <w:t>填写；未设置消防控制室的单位消防控制室值班记录表可不填写， </w:t>
      </w:r>
      <w:r>
        <w:rPr>
          <w:spacing w:val="-24"/>
        </w:rPr>
        <w:t>但要填写微型消防站值班记录表，并可参考自行制作打印微型消防</w:t>
      </w:r>
      <w:r>
        <w:rPr>
          <w:spacing w:val="-22"/>
        </w:rPr>
        <w:t>站值班记录本。各表均为样表，单位可根据实际情况制表。</w:t>
      </w:r>
    </w:p>
    <w:p>
      <w:pPr>
        <w:pStyle w:val="BodyText"/>
        <w:spacing w:line="280" w:lineRule="auto" w:before="1"/>
        <w:ind w:left="300" w:right="275" w:firstLine="439"/>
        <w:jc w:val="both"/>
      </w:pPr>
      <w:r>
        <w:rPr>
          <w:spacing w:val="-20"/>
        </w:rPr>
        <w:t>2</w:t>
      </w:r>
      <w:r>
        <w:rPr>
          <w:spacing w:val="-28"/>
        </w:rPr>
        <w:t>、消防控制室值班原则上每日分三班次记录，且每班次值班不</w:t>
      </w:r>
      <w:r>
        <w:rPr>
          <w:spacing w:val="-27"/>
        </w:rPr>
        <w:t>得少于 </w:t>
      </w:r>
      <w:r>
        <w:rPr/>
        <w:t>2</w:t>
      </w:r>
      <w:r>
        <w:rPr>
          <w:spacing w:val="-27"/>
        </w:rPr>
        <w:t> 人；单位因规模、人员等暂时达不到三班次的，可按实际班次填写；消防控制室值班人员均需取得相应上岗资格(《消防设施</w:t>
      </w:r>
      <w:r>
        <w:rPr>
          <w:spacing w:val="-31"/>
        </w:rPr>
        <w:t>操作员》</w:t>
      </w:r>
      <w:r>
        <w:rPr>
          <w:spacing w:val="-10"/>
        </w:rPr>
        <w:t>(2019</w:t>
      </w:r>
      <w:r>
        <w:rPr>
          <w:spacing w:val="-34"/>
        </w:rPr>
        <w:t> 年版，职业编码：</w:t>
      </w:r>
      <w:r>
        <w:rPr>
          <w:spacing w:val="-16"/>
        </w:rPr>
        <w:t>4-07-05-04</w:t>
      </w:r>
      <w:r>
        <w:rPr>
          <w:spacing w:val="-24"/>
        </w:rPr>
        <w:t>，替代《建(构)筑物消</w:t>
      </w:r>
      <w:r>
        <w:rPr>
          <w:spacing w:val="-32"/>
        </w:rPr>
        <w:t>防员》，</w:t>
      </w:r>
      <w:r>
        <w:rPr>
          <w:spacing w:val="-15"/>
        </w:rPr>
        <w:t>2020</w:t>
      </w:r>
      <w:r>
        <w:rPr>
          <w:spacing w:val="-25"/>
        </w:rPr>
        <w:t> 年</w:t>
      </w:r>
      <w:r>
        <w:rPr/>
        <w:t>1</w:t>
      </w:r>
      <w:r>
        <w:rPr>
          <w:spacing w:val="-24"/>
        </w:rPr>
        <w:t> 月</w:t>
      </w:r>
      <w:r>
        <w:rPr/>
        <w:t>1</w:t>
      </w:r>
      <w:r>
        <w:rPr>
          <w:spacing w:val="-31"/>
        </w:rPr>
        <w:t> 日起实施)规定：持初级(五级)证书的人员可</w:t>
      </w:r>
      <w:r>
        <w:rPr>
          <w:spacing w:val="-22"/>
        </w:rPr>
        <w:t>监控、操作不具备联动控制功能的区域火灾自动报警系统及其他消防设施；监控、操作设有联动控制设备的消防控制室和从事消防设</w:t>
      </w:r>
      <w:r>
        <w:rPr>
          <w:spacing w:val="-24"/>
        </w:rPr>
        <w:t>施检测维修保养的人员，应持中级(四级)及以上等级证书。</w:t>
      </w:r>
    </w:p>
    <w:p>
      <w:pPr>
        <w:pStyle w:val="BodyText"/>
        <w:spacing w:line="280" w:lineRule="auto" w:before="3"/>
        <w:ind w:left="300" w:right="167" w:firstLine="439"/>
      </w:pPr>
      <w:r>
        <w:rPr>
          <w:spacing w:val="-8"/>
        </w:rPr>
        <w:t>3</w:t>
      </w:r>
      <w:r>
        <w:rPr>
          <w:spacing w:val="-17"/>
        </w:rPr>
        <w:t>、单位应明确本单位微型消防站站长，站长负责微型消防站</w:t>
      </w:r>
      <w:r>
        <w:rPr>
          <w:spacing w:val="-25"/>
        </w:rPr>
        <w:t>日常管理，组织制定微型消防站管理制度和灭火应急预案，组织和</w:t>
      </w:r>
      <w:r>
        <w:rPr>
          <w:spacing w:val="-32"/>
        </w:rPr>
        <w:t>检查队员日常值班值守，开展防火巡查、消防宣传教育和灭火训练； </w:t>
      </w:r>
      <w:r>
        <w:rPr>
          <w:spacing w:val="-25"/>
        </w:rPr>
        <w:t>指挥初起火灾扑救和人员疏散。微型消防站值班安排原则上每班不</w:t>
      </w:r>
      <w:r>
        <w:rPr>
          <w:spacing w:val="-20"/>
        </w:rPr>
        <w:t>得少于</w:t>
      </w:r>
      <w:r>
        <w:rPr>
          <w:spacing w:val="-10"/>
        </w:rPr>
        <w:t>6</w:t>
      </w:r>
      <w:r>
        <w:rPr>
          <w:spacing w:val="-21"/>
        </w:rPr>
        <w:t>人，人员应经过消防安全培训。</w:t>
      </w:r>
    </w:p>
    <w:p>
      <w:pPr>
        <w:pStyle w:val="BodyText"/>
        <w:spacing w:line="280" w:lineRule="auto" w:before="1"/>
        <w:ind w:left="300" w:right="294" w:firstLine="439"/>
      </w:pPr>
      <w:r>
        <w:rPr>
          <w:spacing w:val="-8"/>
        </w:rPr>
        <w:t>4</w:t>
      </w:r>
      <w:r>
        <w:rPr>
          <w:spacing w:val="-18"/>
        </w:rPr>
        <w:t>、交接班时，接班人员对火灾报警控制器进行检查后，如实</w:t>
      </w:r>
      <w:r>
        <w:rPr>
          <w:spacing w:val="-21"/>
        </w:rPr>
        <w:t>填写火灾自动报警系统控制装置检查情况记录。</w:t>
      </w:r>
    </w:p>
    <w:p>
      <w:pPr>
        <w:pStyle w:val="BodyText"/>
        <w:spacing w:line="280" w:lineRule="auto" w:before="1"/>
        <w:ind w:left="300" w:right="225" w:firstLine="439"/>
        <w:jc w:val="both"/>
      </w:pPr>
      <w:r>
        <w:rPr>
          <w:spacing w:val="-34"/>
        </w:rPr>
        <w:t>5</w:t>
      </w:r>
      <w:r>
        <w:rPr>
          <w:spacing w:val="-26"/>
        </w:rPr>
        <w:t>、值班期间如实填写设施运行状况及故障问题情况。填写时， </w:t>
      </w:r>
      <w:r>
        <w:rPr>
          <w:spacing w:val="-25"/>
        </w:rPr>
        <w:t>情况正常的打“√”，存在问题或故障的打“×”，并写明故障详</w:t>
      </w:r>
      <w:r>
        <w:rPr>
          <w:spacing w:val="-26"/>
        </w:rPr>
        <w:t>细情况；对发现的故障和问题应及时处理，不能及时处置的要填报</w:t>
      </w:r>
    </w:p>
    <w:p>
      <w:pPr>
        <w:pStyle w:val="BodyText"/>
        <w:spacing w:before="1"/>
        <w:ind w:left="300"/>
      </w:pPr>
      <w:r>
        <w:rPr/>
        <w:t>《建筑消防设施故障处理记录》(本记录本后页)。</w:t>
      </w:r>
    </w:p>
    <w:p>
      <w:pPr>
        <w:pStyle w:val="BodyText"/>
        <w:spacing w:line="280" w:lineRule="auto" w:before="52"/>
        <w:ind w:left="300" w:right="295" w:firstLine="439"/>
      </w:pPr>
      <w:r>
        <w:rPr>
          <w:spacing w:val="-8"/>
        </w:rPr>
        <w:t>6</w:t>
      </w:r>
      <w:r>
        <w:rPr>
          <w:spacing w:val="-18"/>
        </w:rPr>
        <w:t>、本记录本内填写的有关内容须经单位消防安全责任人或管</w:t>
      </w:r>
      <w:r>
        <w:rPr>
          <w:spacing w:val="-22"/>
        </w:rPr>
        <w:t>理人签字确认，本记录本填写完后要注意保存备查。</w:t>
      </w:r>
    </w:p>
    <w:p>
      <w:pPr>
        <w:spacing w:after="0" w:line="280" w:lineRule="auto"/>
        <w:sectPr>
          <w:pgSz w:w="8400" w:h="11910"/>
          <w:pgMar w:header="0" w:footer="834" w:top="1100" w:bottom="1020" w:left="720" w:right="720"/>
        </w:sectPr>
      </w:pPr>
    </w:p>
    <w:p>
      <w:pPr>
        <w:spacing w:before="34" w:after="3"/>
        <w:ind w:left="1209" w:right="1208" w:firstLine="0"/>
        <w:jc w:val="center"/>
        <w:rPr>
          <w:sz w:val="28"/>
        </w:rPr>
      </w:pPr>
      <w:r>
        <w:rPr>
          <w:sz w:val="28"/>
        </w:rPr>
        <w:t>消防控制室值班记录表</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525"/>
        <w:gridCol w:w="495"/>
        <w:gridCol w:w="499"/>
        <w:gridCol w:w="497"/>
        <w:gridCol w:w="498"/>
        <w:gridCol w:w="608"/>
        <w:gridCol w:w="911"/>
        <w:gridCol w:w="625"/>
      </w:tblGrid>
      <w:tr>
        <w:trPr>
          <w:trHeight w:val="258" w:hRule="atLeast"/>
        </w:trPr>
        <w:tc>
          <w:tcPr>
            <w:tcW w:w="1073" w:type="dxa"/>
          </w:tcPr>
          <w:p>
            <w:pPr>
              <w:pStyle w:val="TableParagraph"/>
              <w:tabs>
                <w:tab w:pos="465" w:val="left" w:leader="none"/>
              </w:tabs>
              <w:spacing w:line="227" w:lineRule="exact" w:before="11"/>
              <w:ind w:left="11"/>
              <w:jc w:val="center"/>
              <w:rPr>
                <w:sz w:val="18"/>
              </w:rPr>
            </w:pPr>
            <w:r>
              <w:rPr>
                <w:sz w:val="18"/>
              </w:rPr>
              <w:t>日</w:t>
              <w:tab/>
              <w:t>期</w:t>
            </w:r>
          </w:p>
        </w:tc>
        <w:tc>
          <w:tcPr>
            <w:tcW w:w="2519" w:type="dxa"/>
            <w:gridSpan w:val="3"/>
          </w:tcPr>
          <w:p>
            <w:pPr>
              <w:pStyle w:val="TableParagraph"/>
              <w:tabs>
                <w:tab w:pos="1620" w:val="left" w:leader="none"/>
              </w:tabs>
              <w:spacing w:line="227" w:lineRule="exact" w:before="11"/>
              <w:ind w:left="717"/>
              <w:rPr>
                <w:sz w:val="18"/>
              </w:rPr>
            </w:pPr>
            <w:r>
              <w:rPr>
                <w:sz w:val="18"/>
              </w:rPr>
              <w:t>月</w:t>
              <w:tab/>
              <w:t>日</w:t>
            </w:r>
          </w:p>
        </w:tc>
        <w:tc>
          <w:tcPr>
            <w:tcW w:w="995" w:type="dxa"/>
            <w:gridSpan w:val="2"/>
          </w:tcPr>
          <w:p>
            <w:pPr>
              <w:pStyle w:val="TableParagraph"/>
              <w:tabs>
                <w:tab w:pos="635" w:val="left" w:leader="none"/>
              </w:tabs>
              <w:spacing w:line="227" w:lineRule="exact" w:before="11"/>
              <w:ind w:left="181"/>
              <w:rPr>
                <w:sz w:val="18"/>
              </w:rPr>
            </w:pPr>
            <w:r>
              <w:rPr>
                <w:sz w:val="18"/>
              </w:rPr>
              <w:t>星</w:t>
              <w:tab/>
              <w:t>期</w:t>
            </w:r>
          </w:p>
        </w:tc>
        <w:tc>
          <w:tcPr>
            <w:tcW w:w="608" w:type="dxa"/>
          </w:tcPr>
          <w:p>
            <w:pPr>
              <w:pStyle w:val="TableParagraph"/>
              <w:rPr>
                <w:rFonts w:ascii="Times New Roman"/>
                <w:sz w:val="18"/>
              </w:rPr>
            </w:pPr>
          </w:p>
        </w:tc>
        <w:tc>
          <w:tcPr>
            <w:tcW w:w="911" w:type="dxa"/>
          </w:tcPr>
          <w:p>
            <w:pPr>
              <w:pStyle w:val="TableParagraph"/>
              <w:tabs>
                <w:tab w:pos="590" w:val="left" w:leader="none"/>
              </w:tabs>
              <w:spacing w:line="227" w:lineRule="exact" w:before="11"/>
              <w:ind w:left="136"/>
              <w:rPr>
                <w:sz w:val="18"/>
              </w:rPr>
            </w:pPr>
            <w:r>
              <w:rPr>
                <w:sz w:val="18"/>
              </w:rPr>
              <w:t>天</w:t>
              <w:tab/>
              <w:t>气</w:t>
            </w:r>
          </w:p>
        </w:tc>
        <w:tc>
          <w:tcPr>
            <w:tcW w:w="625" w:type="dxa"/>
          </w:tcPr>
          <w:p>
            <w:pPr>
              <w:pStyle w:val="TableParagraph"/>
              <w:rPr>
                <w:rFonts w:ascii="Times New Roman"/>
                <w:sz w:val="18"/>
              </w:rPr>
            </w:pPr>
          </w:p>
        </w:tc>
      </w:tr>
      <w:tr>
        <w:trPr>
          <w:trHeight w:val="261" w:hRule="atLeast"/>
        </w:trPr>
        <w:tc>
          <w:tcPr>
            <w:tcW w:w="1073" w:type="dxa"/>
          </w:tcPr>
          <w:p>
            <w:pPr>
              <w:pStyle w:val="TableParagraph"/>
              <w:spacing w:line="229" w:lineRule="exact" w:before="11"/>
              <w:ind w:left="7"/>
              <w:jc w:val="center"/>
              <w:rPr>
                <w:sz w:val="18"/>
              </w:rPr>
            </w:pPr>
            <w:r>
              <w:rPr>
                <w:sz w:val="18"/>
              </w:rPr>
              <w:t>值班时间</w:t>
            </w:r>
          </w:p>
        </w:tc>
        <w:tc>
          <w:tcPr>
            <w:tcW w:w="2519" w:type="dxa"/>
            <w:gridSpan w:val="3"/>
          </w:tcPr>
          <w:p>
            <w:pPr>
              <w:pStyle w:val="TableParagraph"/>
              <w:tabs>
                <w:tab w:pos="811" w:val="left" w:leader="none"/>
                <w:tab w:pos="1531" w:val="left" w:leader="none"/>
                <w:tab w:pos="2071" w:val="left" w:leader="none"/>
              </w:tabs>
              <w:spacing w:line="229" w:lineRule="exact" w:before="11"/>
              <w:ind w:left="268"/>
              <w:rPr>
                <w:sz w:val="18"/>
              </w:rPr>
            </w:pPr>
            <w:r>
              <w:rPr>
                <w:sz w:val="18"/>
              </w:rPr>
              <w:t>时</w:t>
              <w:tab/>
              <w:t>分至</w:t>
              <w:tab/>
              <w:t>时</w:t>
              <w:tab/>
              <w:t>分</w:t>
            </w:r>
          </w:p>
        </w:tc>
        <w:tc>
          <w:tcPr>
            <w:tcW w:w="995" w:type="dxa"/>
            <w:gridSpan w:val="2"/>
          </w:tcPr>
          <w:p>
            <w:pPr>
              <w:pStyle w:val="TableParagraph"/>
              <w:spacing w:line="229" w:lineRule="exact" w:before="11"/>
              <w:ind w:left="35"/>
              <w:rPr>
                <w:sz w:val="18"/>
              </w:rPr>
            </w:pPr>
            <w:r>
              <w:rPr>
                <w:w w:val="90"/>
                <w:sz w:val="18"/>
              </w:rPr>
              <w:t>值班员(2</w:t>
            </w:r>
            <w:r>
              <w:rPr>
                <w:spacing w:val="-17"/>
                <w:w w:val="90"/>
                <w:sz w:val="18"/>
              </w:rPr>
              <w:t> 人)</w:t>
            </w:r>
          </w:p>
        </w:tc>
        <w:tc>
          <w:tcPr>
            <w:tcW w:w="608" w:type="dxa"/>
          </w:tcPr>
          <w:p>
            <w:pPr>
              <w:pStyle w:val="TableParagraph"/>
              <w:rPr>
                <w:rFonts w:ascii="Times New Roman"/>
                <w:sz w:val="18"/>
              </w:rPr>
            </w:pPr>
          </w:p>
        </w:tc>
        <w:tc>
          <w:tcPr>
            <w:tcW w:w="911" w:type="dxa"/>
          </w:tcPr>
          <w:p>
            <w:pPr>
              <w:pStyle w:val="TableParagraph"/>
              <w:spacing w:line="229" w:lineRule="exact" w:before="11"/>
              <w:ind w:right="85"/>
              <w:jc w:val="right"/>
              <w:rPr>
                <w:sz w:val="18"/>
              </w:rPr>
            </w:pPr>
            <w:r>
              <w:rPr>
                <w:sz w:val="18"/>
              </w:rPr>
              <w:t>持证情况</w:t>
            </w:r>
          </w:p>
        </w:tc>
        <w:tc>
          <w:tcPr>
            <w:tcW w:w="625" w:type="dxa"/>
          </w:tcPr>
          <w:p>
            <w:pPr>
              <w:pStyle w:val="TableParagraph"/>
              <w:rPr>
                <w:rFonts w:ascii="Times New Roman"/>
                <w:sz w:val="18"/>
              </w:rPr>
            </w:pPr>
          </w:p>
        </w:tc>
      </w:tr>
      <w:tr>
        <w:trPr>
          <w:trHeight w:val="258" w:hRule="atLeast"/>
        </w:trPr>
        <w:tc>
          <w:tcPr>
            <w:tcW w:w="2598" w:type="dxa"/>
            <w:gridSpan w:val="2"/>
            <w:vMerge w:val="restart"/>
          </w:tcPr>
          <w:p>
            <w:pPr>
              <w:pStyle w:val="TableParagraph"/>
              <w:spacing w:before="146"/>
              <w:ind w:left="846"/>
              <w:rPr>
                <w:sz w:val="18"/>
              </w:rPr>
            </w:pPr>
            <w:r>
              <w:rPr>
                <w:sz w:val="18"/>
              </w:rPr>
              <w:t>控制器名称</w:t>
            </w:r>
          </w:p>
        </w:tc>
        <w:tc>
          <w:tcPr>
            <w:tcW w:w="994" w:type="dxa"/>
            <w:gridSpan w:val="2"/>
          </w:tcPr>
          <w:p>
            <w:pPr>
              <w:pStyle w:val="TableParagraph"/>
              <w:spacing w:line="227" w:lineRule="exact" w:before="11"/>
              <w:ind w:left="135"/>
              <w:rPr>
                <w:sz w:val="18"/>
              </w:rPr>
            </w:pPr>
            <w:r>
              <w:rPr>
                <w:sz w:val="18"/>
              </w:rPr>
              <w:t>控制状态</w:t>
            </w:r>
          </w:p>
        </w:tc>
        <w:tc>
          <w:tcPr>
            <w:tcW w:w="995" w:type="dxa"/>
            <w:gridSpan w:val="2"/>
          </w:tcPr>
          <w:p>
            <w:pPr>
              <w:pStyle w:val="TableParagraph"/>
              <w:spacing w:line="227" w:lineRule="exact" w:before="11"/>
              <w:ind w:left="135"/>
              <w:rPr>
                <w:sz w:val="18"/>
              </w:rPr>
            </w:pPr>
            <w:r>
              <w:rPr>
                <w:sz w:val="18"/>
              </w:rPr>
              <w:t>运行状况</w:t>
            </w:r>
          </w:p>
        </w:tc>
        <w:tc>
          <w:tcPr>
            <w:tcW w:w="2144" w:type="dxa"/>
            <w:gridSpan w:val="3"/>
            <w:vMerge w:val="restart"/>
          </w:tcPr>
          <w:p>
            <w:pPr>
              <w:pStyle w:val="TableParagraph"/>
              <w:spacing w:before="146"/>
              <w:ind w:left="531"/>
              <w:rPr>
                <w:sz w:val="18"/>
              </w:rPr>
            </w:pPr>
            <w:r>
              <w:rPr>
                <w:sz w:val="18"/>
              </w:rPr>
              <w:t>故障处理情况</w:t>
            </w:r>
          </w:p>
        </w:tc>
      </w:tr>
      <w:tr>
        <w:trPr>
          <w:trHeight w:val="261" w:hRule="atLeast"/>
        </w:trPr>
        <w:tc>
          <w:tcPr>
            <w:tcW w:w="2598" w:type="dxa"/>
            <w:gridSpan w:val="2"/>
            <w:vMerge/>
            <w:tcBorders>
              <w:top w:val="nil"/>
            </w:tcBorders>
          </w:tcPr>
          <w:p>
            <w:pPr>
              <w:rPr>
                <w:sz w:val="2"/>
                <w:szCs w:val="2"/>
              </w:rPr>
            </w:pPr>
          </w:p>
        </w:tc>
        <w:tc>
          <w:tcPr>
            <w:tcW w:w="495" w:type="dxa"/>
          </w:tcPr>
          <w:p>
            <w:pPr>
              <w:pStyle w:val="TableParagraph"/>
              <w:spacing w:line="229" w:lineRule="exact" w:before="11"/>
              <w:ind w:left="46" w:right="39"/>
              <w:jc w:val="center"/>
              <w:rPr>
                <w:sz w:val="18"/>
              </w:rPr>
            </w:pPr>
            <w:r>
              <w:rPr>
                <w:sz w:val="18"/>
              </w:rPr>
              <w:t>自动</w:t>
            </w:r>
          </w:p>
        </w:tc>
        <w:tc>
          <w:tcPr>
            <w:tcW w:w="499" w:type="dxa"/>
          </w:tcPr>
          <w:p>
            <w:pPr>
              <w:pStyle w:val="TableParagraph"/>
              <w:spacing w:line="229" w:lineRule="exact" w:before="11"/>
              <w:ind w:left="48" w:right="40"/>
              <w:jc w:val="center"/>
              <w:rPr>
                <w:sz w:val="18"/>
              </w:rPr>
            </w:pPr>
            <w:r>
              <w:rPr>
                <w:sz w:val="18"/>
              </w:rPr>
              <w:t>手动</w:t>
            </w:r>
          </w:p>
        </w:tc>
        <w:tc>
          <w:tcPr>
            <w:tcW w:w="497" w:type="dxa"/>
          </w:tcPr>
          <w:p>
            <w:pPr>
              <w:pStyle w:val="TableParagraph"/>
              <w:spacing w:line="229" w:lineRule="exact" w:before="11"/>
              <w:ind w:left="46" w:right="41"/>
              <w:jc w:val="center"/>
              <w:rPr>
                <w:sz w:val="18"/>
              </w:rPr>
            </w:pPr>
            <w:r>
              <w:rPr>
                <w:sz w:val="18"/>
              </w:rPr>
              <w:t>正常</w:t>
            </w:r>
          </w:p>
        </w:tc>
        <w:tc>
          <w:tcPr>
            <w:tcW w:w="498" w:type="dxa"/>
          </w:tcPr>
          <w:p>
            <w:pPr>
              <w:pStyle w:val="TableParagraph"/>
              <w:spacing w:line="229" w:lineRule="exact" w:before="11"/>
              <w:ind w:left="68"/>
              <w:rPr>
                <w:sz w:val="18"/>
              </w:rPr>
            </w:pPr>
            <w:r>
              <w:rPr>
                <w:sz w:val="18"/>
              </w:rPr>
              <w:t>故障</w:t>
            </w:r>
          </w:p>
        </w:tc>
        <w:tc>
          <w:tcPr>
            <w:tcW w:w="2144" w:type="dxa"/>
            <w:gridSpan w:val="3"/>
            <w:vMerge/>
            <w:tcBorders>
              <w:top w:val="nil"/>
            </w:tcBorders>
          </w:tcPr>
          <w:p>
            <w:pPr>
              <w:rPr>
                <w:sz w:val="2"/>
                <w:szCs w:val="2"/>
              </w:rPr>
            </w:pPr>
          </w:p>
        </w:tc>
      </w:tr>
      <w:tr>
        <w:trPr>
          <w:trHeight w:val="258" w:hRule="atLeast"/>
        </w:trPr>
        <w:tc>
          <w:tcPr>
            <w:tcW w:w="2598" w:type="dxa"/>
            <w:gridSpan w:val="2"/>
          </w:tcPr>
          <w:p>
            <w:pPr>
              <w:pStyle w:val="TableParagraph"/>
              <w:spacing w:line="227" w:lineRule="exact" w:before="11"/>
              <w:ind w:left="218"/>
              <w:rPr>
                <w:sz w:val="18"/>
              </w:rPr>
            </w:pPr>
            <w:r>
              <w:rPr>
                <w:sz w:val="18"/>
              </w:rPr>
              <w:t>火灾自动报警系统控制装置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1"/>
              <w:ind w:left="218"/>
              <w:rPr>
                <w:sz w:val="18"/>
              </w:rPr>
            </w:pPr>
            <w:r>
              <w:rPr>
                <w:sz w:val="18"/>
              </w:rPr>
              <w:t>自动喷水灭火系统控制装置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1"/>
              <w:ind w:left="306"/>
              <w:rPr>
                <w:sz w:val="18"/>
              </w:rPr>
            </w:pPr>
            <w:r>
              <w:rPr>
                <w:sz w:val="18"/>
              </w:rPr>
              <w:t>室内消火栓启停控制装置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1"/>
              <w:ind w:left="38"/>
              <w:rPr>
                <w:sz w:val="18"/>
              </w:rPr>
            </w:pPr>
            <w:r>
              <w:rPr>
                <w:sz w:val="18"/>
              </w:rPr>
              <w:t>泡沫、气体等灭火系统控制装置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1"/>
              <w:ind w:left="38"/>
              <w:rPr>
                <w:sz w:val="18"/>
              </w:rPr>
            </w:pPr>
            <w:r>
              <w:rPr>
                <w:sz w:val="18"/>
              </w:rPr>
              <w:t>电动防火门、防火卷帘控制装置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2"/>
              <w:ind w:left="66"/>
              <w:rPr>
                <w:sz w:val="18"/>
              </w:rPr>
            </w:pPr>
            <w:r>
              <w:rPr>
                <w:spacing w:val="-16"/>
                <w:sz w:val="18"/>
              </w:rPr>
              <w:t>防烟排烟及电动防火阀等控制装置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2"/>
              <w:ind w:left="66"/>
              <w:rPr>
                <w:sz w:val="18"/>
              </w:rPr>
            </w:pPr>
            <w:r>
              <w:rPr>
                <w:spacing w:val="-16"/>
                <w:sz w:val="18"/>
              </w:rPr>
              <w:t>火灾事故广播、消防通讯控制装置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1"/>
              <w:ind w:left="126"/>
              <w:rPr>
                <w:sz w:val="18"/>
              </w:rPr>
            </w:pPr>
            <w:r>
              <w:rPr>
                <w:sz w:val="18"/>
              </w:rPr>
              <w:t>消防电源、消防电梯控制装置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1073" w:type="dxa"/>
          </w:tcPr>
          <w:p>
            <w:pPr>
              <w:pStyle w:val="TableParagraph"/>
              <w:spacing w:line="227" w:lineRule="exact" w:before="12"/>
              <w:ind w:left="7"/>
              <w:jc w:val="center"/>
              <w:rPr>
                <w:sz w:val="18"/>
              </w:rPr>
            </w:pPr>
            <w:r>
              <w:rPr>
                <w:sz w:val="18"/>
              </w:rPr>
              <w:t>值班时间</w:t>
            </w:r>
          </w:p>
        </w:tc>
        <w:tc>
          <w:tcPr>
            <w:tcW w:w="2519" w:type="dxa"/>
            <w:gridSpan w:val="3"/>
          </w:tcPr>
          <w:p>
            <w:pPr>
              <w:pStyle w:val="TableParagraph"/>
              <w:tabs>
                <w:tab w:pos="811" w:val="left" w:leader="none"/>
                <w:tab w:pos="1531" w:val="left" w:leader="none"/>
                <w:tab w:pos="2071" w:val="left" w:leader="none"/>
              </w:tabs>
              <w:spacing w:line="227" w:lineRule="exact" w:before="12"/>
              <w:ind w:left="268"/>
              <w:rPr>
                <w:sz w:val="18"/>
              </w:rPr>
            </w:pPr>
            <w:r>
              <w:rPr>
                <w:sz w:val="18"/>
              </w:rPr>
              <w:t>时</w:t>
              <w:tab/>
              <w:t>分至</w:t>
              <w:tab/>
              <w:t>时</w:t>
              <w:tab/>
              <w:t>分</w:t>
            </w:r>
          </w:p>
        </w:tc>
        <w:tc>
          <w:tcPr>
            <w:tcW w:w="995" w:type="dxa"/>
            <w:gridSpan w:val="2"/>
          </w:tcPr>
          <w:p>
            <w:pPr>
              <w:pStyle w:val="TableParagraph"/>
              <w:spacing w:line="227" w:lineRule="exact" w:before="12"/>
              <w:ind w:left="35"/>
              <w:rPr>
                <w:sz w:val="18"/>
              </w:rPr>
            </w:pPr>
            <w:r>
              <w:rPr>
                <w:w w:val="90"/>
                <w:sz w:val="18"/>
              </w:rPr>
              <w:t>值班员(2</w:t>
            </w:r>
            <w:r>
              <w:rPr>
                <w:spacing w:val="-17"/>
                <w:w w:val="90"/>
                <w:sz w:val="18"/>
              </w:rPr>
              <w:t> 人)</w:t>
            </w:r>
          </w:p>
        </w:tc>
        <w:tc>
          <w:tcPr>
            <w:tcW w:w="608" w:type="dxa"/>
          </w:tcPr>
          <w:p>
            <w:pPr>
              <w:pStyle w:val="TableParagraph"/>
              <w:rPr>
                <w:rFonts w:ascii="Times New Roman"/>
                <w:sz w:val="18"/>
              </w:rPr>
            </w:pPr>
          </w:p>
        </w:tc>
        <w:tc>
          <w:tcPr>
            <w:tcW w:w="911" w:type="dxa"/>
          </w:tcPr>
          <w:p>
            <w:pPr>
              <w:pStyle w:val="TableParagraph"/>
              <w:spacing w:line="227" w:lineRule="exact" w:before="12"/>
              <w:ind w:left="33"/>
              <w:rPr>
                <w:sz w:val="18"/>
              </w:rPr>
            </w:pPr>
            <w:r>
              <w:rPr>
                <w:sz w:val="18"/>
              </w:rPr>
              <w:t>持证情况</w:t>
            </w:r>
          </w:p>
        </w:tc>
        <w:tc>
          <w:tcPr>
            <w:tcW w:w="625" w:type="dxa"/>
          </w:tcPr>
          <w:p>
            <w:pPr>
              <w:pStyle w:val="TableParagraph"/>
              <w:rPr>
                <w:rFonts w:ascii="Times New Roman"/>
                <w:sz w:val="18"/>
              </w:rPr>
            </w:pPr>
          </w:p>
        </w:tc>
      </w:tr>
      <w:tr>
        <w:trPr>
          <w:trHeight w:val="261" w:hRule="atLeast"/>
        </w:trPr>
        <w:tc>
          <w:tcPr>
            <w:tcW w:w="2598" w:type="dxa"/>
            <w:gridSpan w:val="2"/>
            <w:vMerge w:val="restart"/>
          </w:tcPr>
          <w:p>
            <w:pPr>
              <w:pStyle w:val="TableParagraph"/>
              <w:spacing w:before="146"/>
              <w:ind w:left="846"/>
              <w:rPr>
                <w:sz w:val="18"/>
              </w:rPr>
            </w:pPr>
            <w:r>
              <w:rPr>
                <w:sz w:val="18"/>
              </w:rPr>
              <w:t>控制器名称</w:t>
            </w:r>
          </w:p>
        </w:tc>
        <w:tc>
          <w:tcPr>
            <w:tcW w:w="994" w:type="dxa"/>
            <w:gridSpan w:val="2"/>
          </w:tcPr>
          <w:p>
            <w:pPr>
              <w:pStyle w:val="TableParagraph"/>
              <w:spacing w:line="229" w:lineRule="exact" w:before="11"/>
              <w:ind w:left="135"/>
              <w:rPr>
                <w:sz w:val="18"/>
              </w:rPr>
            </w:pPr>
            <w:r>
              <w:rPr>
                <w:sz w:val="18"/>
              </w:rPr>
              <w:t>控制状态</w:t>
            </w:r>
          </w:p>
        </w:tc>
        <w:tc>
          <w:tcPr>
            <w:tcW w:w="995" w:type="dxa"/>
            <w:gridSpan w:val="2"/>
          </w:tcPr>
          <w:p>
            <w:pPr>
              <w:pStyle w:val="TableParagraph"/>
              <w:spacing w:line="229" w:lineRule="exact" w:before="11"/>
              <w:ind w:left="135"/>
              <w:rPr>
                <w:sz w:val="18"/>
              </w:rPr>
            </w:pPr>
            <w:r>
              <w:rPr>
                <w:sz w:val="18"/>
              </w:rPr>
              <w:t>运行状况</w:t>
            </w:r>
          </w:p>
        </w:tc>
        <w:tc>
          <w:tcPr>
            <w:tcW w:w="2144" w:type="dxa"/>
            <w:gridSpan w:val="3"/>
            <w:vMerge w:val="restart"/>
          </w:tcPr>
          <w:p>
            <w:pPr>
              <w:pStyle w:val="TableParagraph"/>
              <w:spacing w:before="146"/>
              <w:ind w:left="531"/>
              <w:rPr>
                <w:sz w:val="18"/>
              </w:rPr>
            </w:pPr>
            <w:r>
              <w:rPr>
                <w:sz w:val="18"/>
              </w:rPr>
              <w:t>故障处理情况</w:t>
            </w:r>
          </w:p>
        </w:tc>
      </w:tr>
      <w:tr>
        <w:trPr>
          <w:trHeight w:val="258" w:hRule="atLeast"/>
        </w:trPr>
        <w:tc>
          <w:tcPr>
            <w:tcW w:w="2598" w:type="dxa"/>
            <w:gridSpan w:val="2"/>
            <w:vMerge/>
            <w:tcBorders>
              <w:top w:val="nil"/>
            </w:tcBorders>
          </w:tcPr>
          <w:p>
            <w:pPr>
              <w:rPr>
                <w:sz w:val="2"/>
                <w:szCs w:val="2"/>
              </w:rPr>
            </w:pPr>
          </w:p>
        </w:tc>
        <w:tc>
          <w:tcPr>
            <w:tcW w:w="495" w:type="dxa"/>
          </w:tcPr>
          <w:p>
            <w:pPr>
              <w:pStyle w:val="TableParagraph"/>
              <w:spacing w:line="227" w:lineRule="exact" w:before="12"/>
              <w:ind w:left="46" w:right="39"/>
              <w:jc w:val="center"/>
              <w:rPr>
                <w:sz w:val="18"/>
              </w:rPr>
            </w:pPr>
            <w:r>
              <w:rPr>
                <w:sz w:val="18"/>
              </w:rPr>
              <w:t>自动</w:t>
            </w:r>
          </w:p>
        </w:tc>
        <w:tc>
          <w:tcPr>
            <w:tcW w:w="499" w:type="dxa"/>
          </w:tcPr>
          <w:p>
            <w:pPr>
              <w:pStyle w:val="TableParagraph"/>
              <w:spacing w:line="227" w:lineRule="exact" w:before="12"/>
              <w:ind w:left="48" w:right="40"/>
              <w:jc w:val="center"/>
              <w:rPr>
                <w:sz w:val="18"/>
              </w:rPr>
            </w:pPr>
            <w:r>
              <w:rPr>
                <w:sz w:val="18"/>
              </w:rPr>
              <w:t>手动</w:t>
            </w:r>
          </w:p>
        </w:tc>
        <w:tc>
          <w:tcPr>
            <w:tcW w:w="497" w:type="dxa"/>
          </w:tcPr>
          <w:p>
            <w:pPr>
              <w:pStyle w:val="TableParagraph"/>
              <w:spacing w:line="227" w:lineRule="exact" w:before="12"/>
              <w:ind w:left="46" w:right="41"/>
              <w:jc w:val="center"/>
              <w:rPr>
                <w:sz w:val="18"/>
              </w:rPr>
            </w:pPr>
            <w:r>
              <w:rPr>
                <w:sz w:val="18"/>
              </w:rPr>
              <w:t>正常</w:t>
            </w:r>
          </w:p>
        </w:tc>
        <w:tc>
          <w:tcPr>
            <w:tcW w:w="498" w:type="dxa"/>
          </w:tcPr>
          <w:p>
            <w:pPr>
              <w:pStyle w:val="TableParagraph"/>
              <w:spacing w:line="227" w:lineRule="exact" w:before="12"/>
              <w:ind w:left="68"/>
              <w:rPr>
                <w:sz w:val="18"/>
              </w:rPr>
            </w:pPr>
            <w:r>
              <w:rPr>
                <w:sz w:val="18"/>
              </w:rPr>
              <w:t>故障</w:t>
            </w:r>
          </w:p>
        </w:tc>
        <w:tc>
          <w:tcPr>
            <w:tcW w:w="2144" w:type="dxa"/>
            <w:gridSpan w:val="3"/>
            <w:vMerge/>
            <w:tcBorders>
              <w:top w:val="nil"/>
            </w:tcBorders>
          </w:tcPr>
          <w:p>
            <w:pPr>
              <w:rPr>
                <w:sz w:val="2"/>
                <w:szCs w:val="2"/>
              </w:rPr>
            </w:pPr>
          </w:p>
        </w:tc>
      </w:tr>
      <w:tr>
        <w:trPr>
          <w:trHeight w:val="261" w:hRule="atLeast"/>
        </w:trPr>
        <w:tc>
          <w:tcPr>
            <w:tcW w:w="2598" w:type="dxa"/>
            <w:gridSpan w:val="2"/>
          </w:tcPr>
          <w:p>
            <w:pPr>
              <w:pStyle w:val="TableParagraph"/>
              <w:spacing w:line="229" w:lineRule="exact" w:before="11"/>
              <w:ind w:left="218"/>
              <w:rPr>
                <w:sz w:val="18"/>
              </w:rPr>
            </w:pPr>
            <w:r>
              <w:rPr>
                <w:sz w:val="18"/>
              </w:rPr>
              <w:t>火灾自动报警系统控制装置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2"/>
              <w:ind w:left="218"/>
              <w:rPr>
                <w:sz w:val="18"/>
              </w:rPr>
            </w:pPr>
            <w:r>
              <w:rPr>
                <w:sz w:val="18"/>
              </w:rPr>
              <w:t>自动喷水灭火系统控制装置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1"/>
              <w:ind w:left="306"/>
              <w:rPr>
                <w:sz w:val="18"/>
              </w:rPr>
            </w:pPr>
            <w:r>
              <w:rPr>
                <w:sz w:val="18"/>
              </w:rPr>
              <w:t>室内消火栓启停控制装置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2"/>
              <w:ind w:left="148"/>
              <w:rPr>
                <w:sz w:val="18"/>
              </w:rPr>
            </w:pPr>
            <w:r>
              <w:rPr>
                <w:spacing w:val="-16"/>
                <w:sz w:val="18"/>
              </w:rPr>
              <w:t>泡沫、气体等灭火系统控制装置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2"/>
              <w:ind w:left="148"/>
              <w:rPr>
                <w:sz w:val="18"/>
              </w:rPr>
            </w:pPr>
            <w:r>
              <w:rPr>
                <w:spacing w:val="-16"/>
                <w:sz w:val="18"/>
              </w:rPr>
              <w:t>电动防火门、防火卷帘控制装置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2"/>
              <w:ind w:left="66"/>
              <w:rPr>
                <w:sz w:val="18"/>
              </w:rPr>
            </w:pPr>
            <w:r>
              <w:rPr>
                <w:spacing w:val="-16"/>
                <w:sz w:val="18"/>
              </w:rPr>
              <w:t>防烟排烟及电动防火阀等控制装置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2"/>
              <w:ind w:left="66"/>
              <w:rPr>
                <w:sz w:val="18"/>
              </w:rPr>
            </w:pPr>
            <w:r>
              <w:rPr>
                <w:spacing w:val="-16"/>
                <w:sz w:val="18"/>
              </w:rPr>
              <w:t>火灾事故广播、消防通讯控制装置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2"/>
              <w:ind w:left="126"/>
              <w:rPr>
                <w:sz w:val="18"/>
              </w:rPr>
            </w:pPr>
            <w:r>
              <w:rPr>
                <w:sz w:val="18"/>
              </w:rPr>
              <w:t>消防电源、消防电梯控制装置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1073" w:type="dxa"/>
          </w:tcPr>
          <w:p>
            <w:pPr>
              <w:pStyle w:val="TableParagraph"/>
              <w:spacing w:line="229" w:lineRule="exact" w:before="12"/>
              <w:ind w:left="7"/>
              <w:jc w:val="center"/>
              <w:rPr>
                <w:sz w:val="18"/>
              </w:rPr>
            </w:pPr>
            <w:r>
              <w:rPr>
                <w:sz w:val="18"/>
              </w:rPr>
              <w:t>值班时间</w:t>
            </w:r>
          </w:p>
        </w:tc>
        <w:tc>
          <w:tcPr>
            <w:tcW w:w="2519" w:type="dxa"/>
            <w:gridSpan w:val="3"/>
          </w:tcPr>
          <w:p>
            <w:pPr>
              <w:pStyle w:val="TableParagraph"/>
              <w:tabs>
                <w:tab w:pos="811" w:val="left" w:leader="none"/>
                <w:tab w:pos="1531" w:val="left" w:leader="none"/>
                <w:tab w:pos="2071" w:val="left" w:leader="none"/>
              </w:tabs>
              <w:spacing w:line="229" w:lineRule="exact" w:before="12"/>
              <w:ind w:left="268"/>
              <w:rPr>
                <w:sz w:val="18"/>
              </w:rPr>
            </w:pPr>
            <w:r>
              <w:rPr>
                <w:sz w:val="18"/>
              </w:rPr>
              <w:t>时</w:t>
              <w:tab/>
              <w:t>分至</w:t>
              <w:tab/>
              <w:t>时</w:t>
              <w:tab/>
              <w:t>分</w:t>
            </w:r>
          </w:p>
        </w:tc>
        <w:tc>
          <w:tcPr>
            <w:tcW w:w="995" w:type="dxa"/>
            <w:gridSpan w:val="2"/>
          </w:tcPr>
          <w:p>
            <w:pPr>
              <w:pStyle w:val="TableParagraph"/>
              <w:spacing w:line="229" w:lineRule="exact" w:before="12"/>
              <w:ind w:left="35"/>
              <w:rPr>
                <w:sz w:val="18"/>
              </w:rPr>
            </w:pPr>
            <w:r>
              <w:rPr>
                <w:w w:val="90"/>
                <w:sz w:val="18"/>
              </w:rPr>
              <w:t>值班员(2</w:t>
            </w:r>
            <w:r>
              <w:rPr>
                <w:spacing w:val="-17"/>
                <w:w w:val="90"/>
                <w:sz w:val="18"/>
              </w:rPr>
              <w:t> 人)</w:t>
            </w:r>
          </w:p>
        </w:tc>
        <w:tc>
          <w:tcPr>
            <w:tcW w:w="608" w:type="dxa"/>
          </w:tcPr>
          <w:p>
            <w:pPr>
              <w:pStyle w:val="TableParagraph"/>
              <w:rPr>
                <w:rFonts w:ascii="Times New Roman"/>
                <w:sz w:val="18"/>
              </w:rPr>
            </w:pPr>
          </w:p>
        </w:tc>
        <w:tc>
          <w:tcPr>
            <w:tcW w:w="911" w:type="dxa"/>
          </w:tcPr>
          <w:p>
            <w:pPr>
              <w:pStyle w:val="TableParagraph"/>
              <w:spacing w:line="229" w:lineRule="exact" w:before="12"/>
              <w:ind w:right="85"/>
              <w:jc w:val="right"/>
              <w:rPr>
                <w:sz w:val="18"/>
              </w:rPr>
            </w:pPr>
            <w:r>
              <w:rPr>
                <w:sz w:val="18"/>
              </w:rPr>
              <w:t>持证情况</w:t>
            </w:r>
          </w:p>
        </w:tc>
        <w:tc>
          <w:tcPr>
            <w:tcW w:w="625" w:type="dxa"/>
          </w:tcPr>
          <w:p>
            <w:pPr>
              <w:pStyle w:val="TableParagraph"/>
              <w:rPr>
                <w:rFonts w:ascii="Times New Roman"/>
                <w:sz w:val="18"/>
              </w:rPr>
            </w:pPr>
          </w:p>
        </w:tc>
      </w:tr>
      <w:tr>
        <w:trPr>
          <w:trHeight w:val="258" w:hRule="atLeast"/>
        </w:trPr>
        <w:tc>
          <w:tcPr>
            <w:tcW w:w="2598" w:type="dxa"/>
            <w:gridSpan w:val="2"/>
            <w:vMerge w:val="restart"/>
          </w:tcPr>
          <w:p>
            <w:pPr>
              <w:pStyle w:val="TableParagraph"/>
              <w:spacing w:before="146"/>
              <w:ind w:left="846"/>
              <w:rPr>
                <w:sz w:val="18"/>
              </w:rPr>
            </w:pPr>
            <w:r>
              <w:rPr>
                <w:sz w:val="18"/>
              </w:rPr>
              <w:t>控制器名称</w:t>
            </w:r>
          </w:p>
        </w:tc>
        <w:tc>
          <w:tcPr>
            <w:tcW w:w="994" w:type="dxa"/>
            <w:gridSpan w:val="2"/>
          </w:tcPr>
          <w:p>
            <w:pPr>
              <w:pStyle w:val="TableParagraph"/>
              <w:spacing w:line="227" w:lineRule="exact" w:before="12"/>
              <w:ind w:left="135"/>
              <w:rPr>
                <w:sz w:val="18"/>
              </w:rPr>
            </w:pPr>
            <w:r>
              <w:rPr>
                <w:sz w:val="18"/>
              </w:rPr>
              <w:t>控制状态</w:t>
            </w:r>
          </w:p>
        </w:tc>
        <w:tc>
          <w:tcPr>
            <w:tcW w:w="995" w:type="dxa"/>
            <w:gridSpan w:val="2"/>
          </w:tcPr>
          <w:p>
            <w:pPr>
              <w:pStyle w:val="TableParagraph"/>
              <w:spacing w:line="227" w:lineRule="exact" w:before="12"/>
              <w:ind w:left="135"/>
              <w:rPr>
                <w:sz w:val="18"/>
              </w:rPr>
            </w:pPr>
            <w:r>
              <w:rPr>
                <w:sz w:val="18"/>
              </w:rPr>
              <w:t>运行状况</w:t>
            </w:r>
          </w:p>
        </w:tc>
        <w:tc>
          <w:tcPr>
            <w:tcW w:w="2144" w:type="dxa"/>
            <w:gridSpan w:val="3"/>
            <w:vMerge w:val="restart"/>
          </w:tcPr>
          <w:p>
            <w:pPr>
              <w:pStyle w:val="TableParagraph"/>
              <w:spacing w:before="146"/>
              <w:ind w:left="531"/>
              <w:rPr>
                <w:sz w:val="18"/>
              </w:rPr>
            </w:pPr>
            <w:r>
              <w:rPr>
                <w:sz w:val="18"/>
              </w:rPr>
              <w:t>故障处理情况</w:t>
            </w:r>
          </w:p>
        </w:tc>
      </w:tr>
      <w:tr>
        <w:trPr>
          <w:trHeight w:val="261" w:hRule="atLeast"/>
        </w:trPr>
        <w:tc>
          <w:tcPr>
            <w:tcW w:w="2598" w:type="dxa"/>
            <w:gridSpan w:val="2"/>
            <w:vMerge/>
            <w:tcBorders>
              <w:top w:val="nil"/>
            </w:tcBorders>
          </w:tcPr>
          <w:p>
            <w:pPr>
              <w:rPr>
                <w:sz w:val="2"/>
                <w:szCs w:val="2"/>
              </w:rPr>
            </w:pPr>
          </w:p>
        </w:tc>
        <w:tc>
          <w:tcPr>
            <w:tcW w:w="495" w:type="dxa"/>
          </w:tcPr>
          <w:p>
            <w:pPr>
              <w:pStyle w:val="TableParagraph"/>
              <w:spacing w:line="229" w:lineRule="exact" w:before="12"/>
              <w:ind w:left="46" w:right="39"/>
              <w:jc w:val="center"/>
              <w:rPr>
                <w:sz w:val="18"/>
              </w:rPr>
            </w:pPr>
            <w:r>
              <w:rPr>
                <w:sz w:val="18"/>
              </w:rPr>
              <w:t>自动</w:t>
            </w:r>
          </w:p>
        </w:tc>
        <w:tc>
          <w:tcPr>
            <w:tcW w:w="499" w:type="dxa"/>
          </w:tcPr>
          <w:p>
            <w:pPr>
              <w:pStyle w:val="TableParagraph"/>
              <w:spacing w:line="229" w:lineRule="exact" w:before="12"/>
              <w:ind w:left="48" w:right="40"/>
              <w:jc w:val="center"/>
              <w:rPr>
                <w:sz w:val="18"/>
              </w:rPr>
            </w:pPr>
            <w:r>
              <w:rPr>
                <w:sz w:val="18"/>
              </w:rPr>
              <w:t>手动</w:t>
            </w:r>
          </w:p>
        </w:tc>
        <w:tc>
          <w:tcPr>
            <w:tcW w:w="497" w:type="dxa"/>
          </w:tcPr>
          <w:p>
            <w:pPr>
              <w:pStyle w:val="TableParagraph"/>
              <w:spacing w:line="229" w:lineRule="exact" w:before="12"/>
              <w:ind w:left="46" w:right="41"/>
              <w:jc w:val="center"/>
              <w:rPr>
                <w:sz w:val="18"/>
              </w:rPr>
            </w:pPr>
            <w:r>
              <w:rPr>
                <w:sz w:val="18"/>
              </w:rPr>
              <w:t>正常</w:t>
            </w:r>
          </w:p>
        </w:tc>
        <w:tc>
          <w:tcPr>
            <w:tcW w:w="498" w:type="dxa"/>
          </w:tcPr>
          <w:p>
            <w:pPr>
              <w:pStyle w:val="TableParagraph"/>
              <w:spacing w:line="229" w:lineRule="exact" w:before="12"/>
              <w:ind w:left="68"/>
              <w:rPr>
                <w:sz w:val="18"/>
              </w:rPr>
            </w:pPr>
            <w:r>
              <w:rPr>
                <w:sz w:val="18"/>
              </w:rPr>
              <w:t>故障</w:t>
            </w:r>
          </w:p>
        </w:tc>
        <w:tc>
          <w:tcPr>
            <w:tcW w:w="2144" w:type="dxa"/>
            <w:gridSpan w:val="3"/>
            <w:vMerge/>
            <w:tcBorders>
              <w:top w:val="nil"/>
            </w:tcBorders>
          </w:tcPr>
          <w:p>
            <w:pPr>
              <w:rPr>
                <w:sz w:val="2"/>
                <w:szCs w:val="2"/>
              </w:rPr>
            </w:pPr>
          </w:p>
        </w:tc>
      </w:tr>
      <w:tr>
        <w:trPr>
          <w:trHeight w:val="258" w:hRule="atLeast"/>
        </w:trPr>
        <w:tc>
          <w:tcPr>
            <w:tcW w:w="2598" w:type="dxa"/>
            <w:gridSpan w:val="2"/>
          </w:tcPr>
          <w:p>
            <w:pPr>
              <w:pStyle w:val="TableParagraph"/>
              <w:spacing w:line="227" w:lineRule="exact" w:before="12"/>
              <w:ind w:left="218"/>
              <w:rPr>
                <w:sz w:val="18"/>
              </w:rPr>
            </w:pPr>
            <w:r>
              <w:rPr>
                <w:sz w:val="18"/>
              </w:rPr>
              <w:t>火灾自动报警系统控制装置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2"/>
              <w:ind w:left="218"/>
              <w:rPr>
                <w:sz w:val="18"/>
              </w:rPr>
            </w:pPr>
            <w:r>
              <w:rPr>
                <w:sz w:val="18"/>
              </w:rPr>
              <w:t>自动喷水灭火系统控制装置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2"/>
              <w:ind w:left="306"/>
              <w:rPr>
                <w:sz w:val="18"/>
              </w:rPr>
            </w:pPr>
            <w:r>
              <w:rPr>
                <w:sz w:val="18"/>
              </w:rPr>
              <w:t>室内消火栓启停控制装置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2"/>
              <w:ind w:left="38"/>
              <w:rPr>
                <w:sz w:val="18"/>
              </w:rPr>
            </w:pPr>
            <w:r>
              <w:rPr>
                <w:sz w:val="18"/>
              </w:rPr>
              <w:t>泡沫、气体等灭火系统控制装置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1"/>
              <w:ind w:left="38"/>
              <w:rPr>
                <w:sz w:val="18"/>
              </w:rPr>
            </w:pPr>
            <w:r>
              <w:rPr>
                <w:sz w:val="18"/>
              </w:rPr>
              <w:t>电动防火门、防火卷帘控制装置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1"/>
              <w:ind w:left="66"/>
              <w:rPr>
                <w:sz w:val="18"/>
              </w:rPr>
            </w:pPr>
            <w:r>
              <w:rPr>
                <w:spacing w:val="-16"/>
                <w:sz w:val="18"/>
              </w:rPr>
              <w:t>防烟排烟及电动防火阀等控制装置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58" w:hRule="atLeast"/>
        </w:trPr>
        <w:tc>
          <w:tcPr>
            <w:tcW w:w="2598" w:type="dxa"/>
            <w:gridSpan w:val="2"/>
          </w:tcPr>
          <w:p>
            <w:pPr>
              <w:pStyle w:val="TableParagraph"/>
              <w:spacing w:line="227" w:lineRule="exact" w:before="11"/>
              <w:ind w:left="66"/>
              <w:rPr>
                <w:sz w:val="18"/>
              </w:rPr>
            </w:pPr>
            <w:r>
              <w:rPr>
                <w:spacing w:val="-16"/>
                <w:sz w:val="18"/>
              </w:rPr>
              <w:t>火灾事故广播、消防通讯控制装置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r>
        <w:trPr>
          <w:trHeight w:val="261" w:hRule="atLeast"/>
        </w:trPr>
        <w:tc>
          <w:tcPr>
            <w:tcW w:w="2598" w:type="dxa"/>
            <w:gridSpan w:val="2"/>
          </w:tcPr>
          <w:p>
            <w:pPr>
              <w:pStyle w:val="TableParagraph"/>
              <w:spacing w:line="229" w:lineRule="exact" w:before="11"/>
              <w:ind w:left="126"/>
              <w:rPr>
                <w:sz w:val="18"/>
              </w:rPr>
            </w:pPr>
            <w:r>
              <w:rPr>
                <w:sz w:val="18"/>
              </w:rPr>
              <w:t>消防电源、消防电梯控制装置</w:t>
            </w:r>
          </w:p>
        </w:tc>
        <w:tc>
          <w:tcPr>
            <w:tcW w:w="495" w:type="dxa"/>
          </w:tcPr>
          <w:p>
            <w:pPr>
              <w:pStyle w:val="TableParagraph"/>
              <w:rPr>
                <w:rFonts w:ascii="Times New Roman"/>
                <w:sz w:val="18"/>
              </w:rPr>
            </w:pPr>
          </w:p>
        </w:tc>
        <w:tc>
          <w:tcPr>
            <w:tcW w:w="499" w:type="dxa"/>
          </w:tcPr>
          <w:p>
            <w:pPr>
              <w:pStyle w:val="TableParagraph"/>
              <w:rPr>
                <w:rFonts w:ascii="Times New Roman"/>
                <w:sz w:val="18"/>
              </w:rPr>
            </w:pPr>
          </w:p>
        </w:tc>
        <w:tc>
          <w:tcPr>
            <w:tcW w:w="497" w:type="dxa"/>
          </w:tcPr>
          <w:p>
            <w:pPr>
              <w:pStyle w:val="TableParagraph"/>
              <w:rPr>
                <w:rFonts w:ascii="Times New Roman"/>
                <w:sz w:val="18"/>
              </w:rPr>
            </w:pPr>
          </w:p>
        </w:tc>
        <w:tc>
          <w:tcPr>
            <w:tcW w:w="498" w:type="dxa"/>
          </w:tcPr>
          <w:p>
            <w:pPr>
              <w:pStyle w:val="TableParagraph"/>
              <w:rPr>
                <w:rFonts w:ascii="Times New Roman"/>
                <w:sz w:val="18"/>
              </w:rPr>
            </w:pPr>
          </w:p>
        </w:tc>
        <w:tc>
          <w:tcPr>
            <w:tcW w:w="2144" w:type="dxa"/>
            <w:gridSpan w:val="3"/>
          </w:tcPr>
          <w:p>
            <w:pPr>
              <w:pStyle w:val="TableParagraph"/>
              <w:rPr>
                <w:rFonts w:ascii="Times New Roman"/>
                <w:sz w:val="18"/>
              </w:rPr>
            </w:pPr>
          </w:p>
        </w:tc>
      </w:tr>
    </w:tbl>
    <w:p>
      <w:pPr>
        <w:spacing w:after="0"/>
        <w:rPr>
          <w:rFonts w:ascii="Times New Roman"/>
          <w:sz w:val="18"/>
        </w:rPr>
        <w:sectPr>
          <w:pgSz w:w="8400" w:h="11910"/>
          <w:pgMar w:header="0" w:footer="875" w:top="1060" w:bottom="1020" w:left="720" w:right="720"/>
        </w:sectPr>
      </w:pPr>
    </w:p>
    <w:p>
      <w:pPr>
        <w:spacing w:before="33" w:after="5"/>
        <w:ind w:left="475" w:right="0" w:firstLine="0"/>
        <w:jc w:val="left"/>
        <w:rPr>
          <w:rFonts w:ascii="黑体" w:eastAsia="黑体" w:hint="eastAsia"/>
          <w:sz w:val="30"/>
        </w:rPr>
      </w:pPr>
      <w:r>
        <w:rPr>
          <w:rFonts w:ascii="黑体" w:eastAsia="黑体" w:hint="eastAsia"/>
          <w:sz w:val="30"/>
        </w:rPr>
        <w:t>消防控制室火灾报警控制器运行、检查记录表</w:t>
      </w: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
        <w:gridCol w:w="506"/>
        <w:gridCol w:w="372"/>
        <w:gridCol w:w="171"/>
        <w:gridCol w:w="216"/>
        <w:gridCol w:w="334"/>
        <w:gridCol w:w="440"/>
        <w:gridCol w:w="387"/>
        <w:gridCol w:w="150"/>
        <w:gridCol w:w="262"/>
        <w:gridCol w:w="260"/>
        <w:gridCol w:w="116"/>
        <w:gridCol w:w="375"/>
        <w:gridCol w:w="377"/>
        <w:gridCol w:w="502"/>
        <w:gridCol w:w="91"/>
        <w:gridCol w:w="561"/>
        <w:gridCol w:w="542"/>
        <w:gridCol w:w="558"/>
      </w:tblGrid>
      <w:tr>
        <w:trPr>
          <w:trHeight w:val="798" w:hRule="atLeast"/>
        </w:trPr>
        <w:tc>
          <w:tcPr>
            <w:tcW w:w="374" w:type="dxa"/>
            <w:vMerge w:val="restart"/>
          </w:tcPr>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rPr>
                <w:rFonts w:ascii="黑体"/>
                <w:sz w:val="18"/>
              </w:rPr>
            </w:pPr>
          </w:p>
          <w:p>
            <w:pPr>
              <w:pStyle w:val="TableParagraph"/>
              <w:spacing w:before="4"/>
              <w:rPr>
                <w:rFonts w:ascii="黑体"/>
                <w:sz w:val="24"/>
              </w:rPr>
            </w:pPr>
          </w:p>
          <w:p>
            <w:pPr>
              <w:pStyle w:val="TableParagraph"/>
              <w:spacing w:line="208" w:lineRule="auto" w:before="1"/>
              <w:ind w:left="95" w:right="86"/>
              <w:jc w:val="both"/>
              <w:rPr>
                <w:sz w:val="18"/>
              </w:rPr>
            </w:pPr>
            <w:r>
              <w:rPr>
                <w:sz w:val="18"/>
              </w:rPr>
              <w:t>火灾报警器日运行情况记录</w:t>
            </w:r>
          </w:p>
        </w:tc>
        <w:tc>
          <w:tcPr>
            <w:tcW w:w="506" w:type="dxa"/>
            <w:vMerge w:val="restart"/>
          </w:tcPr>
          <w:p>
            <w:pPr>
              <w:pStyle w:val="TableParagraph"/>
              <w:rPr>
                <w:rFonts w:ascii="黑体"/>
                <w:sz w:val="18"/>
              </w:rPr>
            </w:pPr>
          </w:p>
          <w:p>
            <w:pPr>
              <w:pStyle w:val="TableParagraph"/>
              <w:spacing w:before="155"/>
              <w:ind w:left="163"/>
              <w:rPr>
                <w:sz w:val="18"/>
              </w:rPr>
            </w:pPr>
            <w:r>
              <w:rPr>
                <w:sz w:val="18"/>
              </w:rPr>
              <w:t>时</w:t>
            </w:r>
          </w:p>
          <w:p>
            <w:pPr>
              <w:pStyle w:val="TableParagraph"/>
              <w:rPr>
                <w:rFonts w:ascii="黑体"/>
                <w:sz w:val="18"/>
              </w:rPr>
            </w:pPr>
          </w:p>
          <w:p>
            <w:pPr>
              <w:pStyle w:val="TableParagraph"/>
              <w:spacing w:before="5"/>
              <w:rPr>
                <w:rFonts w:ascii="黑体"/>
                <w:sz w:val="26"/>
              </w:rPr>
            </w:pPr>
          </w:p>
          <w:p>
            <w:pPr>
              <w:pStyle w:val="TableParagraph"/>
              <w:ind w:left="163"/>
              <w:rPr>
                <w:sz w:val="18"/>
              </w:rPr>
            </w:pPr>
            <w:r>
              <w:rPr>
                <w:sz w:val="18"/>
              </w:rPr>
              <w:t>间</w:t>
            </w:r>
          </w:p>
        </w:tc>
        <w:tc>
          <w:tcPr>
            <w:tcW w:w="759" w:type="dxa"/>
            <w:gridSpan w:val="3"/>
          </w:tcPr>
          <w:p>
            <w:pPr>
              <w:pStyle w:val="TableParagraph"/>
              <w:spacing w:line="206" w:lineRule="auto" w:before="5"/>
              <w:ind w:left="110" w:right="97"/>
              <w:jc w:val="both"/>
              <w:rPr>
                <w:sz w:val="18"/>
              </w:rPr>
            </w:pPr>
            <w:r>
              <w:rPr>
                <w:spacing w:val="-7"/>
                <w:sz w:val="18"/>
              </w:rPr>
              <w:t>火灾报警控制器运行</w:t>
            </w:r>
          </w:p>
          <w:p>
            <w:pPr>
              <w:pStyle w:val="TableParagraph"/>
              <w:spacing w:line="178" w:lineRule="exact"/>
              <w:ind w:left="199"/>
              <w:rPr>
                <w:sz w:val="18"/>
              </w:rPr>
            </w:pPr>
            <w:r>
              <w:rPr>
                <w:spacing w:val="-1"/>
                <w:sz w:val="18"/>
              </w:rPr>
              <w:t>情况</w:t>
            </w:r>
          </w:p>
        </w:tc>
        <w:tc>
          <w:tcPr>
            <w:tcW w:w="1573" w:type="dxa"/>
            <w:gridSpan w:val="5"/>
          </w:tcPr>
          <w:p>
            <w:pPr>
              <w:pStyle w:val="TableParagraph"/>
              <w:spacing w:before="11"/>
              <w:rPr>
                <w:rFonts w:ascii="黑体"/>
                <w:sz w:val="21"/>
              </w:rPr>
            </w:pPr>
          </w:p>
          <w:p>
            <w:pPr>
              <w:pStyle w:val="TableParagraph"/>
              <w:ind w:left="427"/>
              <w:rPr>
                <w:sz w:val="18"/>
              </w:rPr>
            </w:pPr>
            <w:r>
              <w:rPr>
                <w:sz w:val="18"/>
              </w:rPr>
              <w:t>报警性质</w:t>
            </w:r>
          </w:p>
        </w:tc>
        <w:tc>
          <w:tcPr>
            <w:tcW w:w="1128" w:type="dxa"/>
            <w:gridSpan w:val="4"/>
          </w:tcPr>
          <w:p>
            <w:pPr>
              <w:pStyle w:val="TableParagraph"/>
              <w:spacing w:line="208" w:lineRule="auto" w:before="102"/>
              <w:ind w:left="110" w:right="105"/>
              <w:jc w:val="center"/>
              <w:rPr>
                <w:sz w:val="18"/>
              </w:rPr>
            </w:pPr>
            <w:r>
              <w:rPr>
                <w:sz w:val="18"/>
              </w:rPr>
              <w:t>消防联动控制器运行情况</w:t>
            </w:r>
          </w:p>
        </w:tc>
        <w:tc>
          <w:tcPr>
            <w:tcW w:w="593" w:type="dxa"/>
            <w:gridSpan w:val="2"/>
            <w:vMerge w:val="restart"/>
          </w:tcPr>
          <w:p>
            <w:pPr>
              <w:pStyle w:val="TableParagraph"/>
              <w:rPr>
                <w:rFonts w:ascii="黑体"/>
                <w:sz w:val="18"/>
              </w:rPr>
            </w:pPr>
          </w:p>
          <w:p>
            <w:pPr>
              <w:pStyle w:val="TableParagraph"/>
              <w:spacing w:before="1"/>
              <w:rPr>
                <w:rFonts w:ascii="黑体"/>
                <w:sz w:val="14"/>
              </w:rPr>
            </w:pPr>
          </w:p>
          <w:p>
            <w:pPr>
              <w:pStyle w:val="TableParagraph"/>
              <w:spacing w:line="206" w:lineRule="auto"/>
              <w:ind w:left="158" w:right="86" w:hanging="68"/>
              <w:rPr>
                <w:sz w:val="18"/>
              </w:rPr>
            </w:pPr>
            <w:r>
              <w:rPr>
                <w:spacing w:val="-51"/>
                <w:sz w:val="18"/>
              </w:rPr>
              <w:t>报警、</w:t>
            </w:r>
            <w:r>
              <w:rPr>
                <w:spacing w:val="-46"/>
                <w:sz w:val="18"/>
              </w:rPr>
              <w:t>故障</w:t>
            </w:r>
          </w:p>
          <w:p>
            <w:pPr>
              <w:pStyle w:val="TableParagraph"/>
              <w:spacing w:line="208" w:lineRule="auto"/>
              <w:ind w:left="91" w:right="-29" w:hanging="59"/>
              <w:rPr>
                <w:sz w:val="18"/>
              </w:rPr>
            </w:pPr>
            <w:r>
              <w:rPr>
                <w:spacing w:val="-39"/>
                <w:sz w:val="18"/>
              </w:rPr>
              <w:t>部位、原</w:t>
            </w:r>
            <w:r>
              <w:rPr>
                <w:spacing w:val="-46"/>
                <w:sz w:val="18"/>
              </w:rPr>
              <w:t>因及处理情况</w:t>
            </w:r>
          </w:p>
        </w:tc>
        <w:tc>
          <w:tcPr>
            <w:tcW w:w="561" w:type="dxa"/>
          </w:tcPr>
          <w:p>
            <w:pPr>
              <w:pStyle w:val="TableParagraph"/>
              <w:spacing w:line="208" w:lineRule="auto" w:before="102"/>
              <w:ind w:left="96" w:right="92"/>
              <w:jc w:val="center"/>
              <w:rPr>
                <w:sz w:val="18"/>
              </w:rPr>
            </w:pPr>
            <w:r>
              <w:rPr>
                <w:spacing w:val="-9"/>
                <w:sz w:val="18"/>
              </w:rPr>
              <w:t>值班</w:t>
            </w:r>
            <w:r>
              <w:rPr>
                <w:sz w:val="18"/>
              </w:rPr>
              <w:t>人 </w:t>
            </w:r>
            <w:r>
              <w:rPr>
                <w:spacing w:val="-9"/>
                <w:sz w:val="18"/>
              </w:rPr>
              <w:t>签名</w:t>
            </w:r>
          </w:p>
        </w:tc>
        <w:tc>
          <w:tcPr>
            <w:tcW w:w="542" w:type="dxa"/>
          </w:tcPr>
          <w:p>
            <w:pPr>
              <w:pStyle w:val="TableParagraph"/>
              <w:spacing w:line="208" w:lineRule="auto" w:before="102"/>
              <w:ind w:left="84" w:right="85"/>
              <w:jc w:val="center"/>
              <w:rPr>
                <w:sz w:val="18"/>
              </w:rPr>
            </w:pPr>
            <w:r>
              <w:rPr>
                <w:spacing w:val="-9"/>
                <w:sz w:val="18"/>
              </w:rPr>
              <w:t>值班</w:t>
            </w:r>
            <w:r>
              <w:rPr>
                <w:sz w:val="18"/>
              </w:rPr>
              <w:t>人 </w:t>
            </w:r>
            <w:r>
              <w:rPr>
                <w:spacing w:val="-9"/>
                <w:sz w:val="18"/>
              </w:rPr>
              <w:t>签名</w:t>
            </w:r>
          </w:p>
        </w:tc>
        <w:tc>
          <w:tcPr>
            <w:tcW w:w="558" w:type="dxa"/>
          </w:tcPr>
          <w:p>
            <w:pPr>
              <w:pStyle w:val="TableParagraph"/>
              <w:spacing w:line="208" w:lineRule="auto" w:before="102"/>
              <w:ind w:left="95" w:right="90"/>
              <w:jc w:val="center"/>
              <w:rPr>
                <w:sz w:val="18"/>
              </w:rPr>
            </w:pPr>
            <w:r>
              <w:rPr>
                <w:spacing w:val="-9"/>
                <w:sz w:val="18"/>
              </w:rPr>
              <w:t>值班</w:t>
            </w:r>
            <w:r>
              <w:rPr>
                <w:sz w:val="18"/>
              </w:rPr>
              <w:t>人 </w:t>
            </w:r>
            <w:r>
              <w:rPr>
                <w:spacing w:val="-9"/>
                <w:sz w:val="18"/>
              </w:rPr>
              <w:t>签名</w:t>
            </w:r>
          </w:p>
        </w:tc>
      </w:tr>
      <w:tr>
        <w:trPr>
          <w:trHeight w:val="189" w:hRule="atLeast"/>
        </w:trPr>
        <w:tc>
          <w:tcPr>
            <w:tcW w:w="374" w:type="dxa"/>
            <w:vMerge/>
            <w:tcBorders>
              <w:top w:val="nil"/>
            </w:tcBorders>
          </w:tcPr>
          <w:p>
            <w:pPr>
              <w:rPr>
                <w:sz w:val="2"/>
                <w:szCs w:val="2"/>
              </w:rPr>
            </w:pPr>
          </w:p>
        </w:tc>
        <w:tc>
          <w:tcPr>
            <w:tcW w:w="506" w:type="dxa"/>
            <w:vMerge/>
            <w:tcBorders>
              <w:top w:val="nil"/>
            </w:tcBorders>
          </w:tcPr>
          <w:p>
            <w:pPr>
              <w:rPr>
                <w:sz w:val="2"/>
                <w:szCs w:val="2"/>
              </w:rPr>
            </w:pPr>
          </w:p>
        </w:tc>
        <w:tc>
          <w:tcPr>
            <w:tcW w:w="372" w:type="dxa"/>
            <w:vMerge w:val="restart"/>
          </w:tcPr>
          <w:p>
            <w:pPr>
              <w:pStyle w:val="TableParagraph"/>
              <w:spacing w:before="2"/>
              <w:rPr>
                <w:rFonts w:ascii="黑体"/>
                <w:sz w:val="14"/>
              </w:rPr>
            </w:pPr>
          </w:p>
          <w:p>
            <w:pPr>
              <w:pStyle w:val="TableParagraph"/>
              <w:spacing w:line="415" w:lineRule="auto" w:before="1"/>
              <w:ind w:left="96" w:right="83"/>
              <w:rPr>
                <w:sz w:val="18"/>
              </w:rPr>
            </w:pPr>
            <w:r>
              <w:rPr>
                <w:sz w:val="18"/>
              </w:rPr>
              <w:t>正常</w:t>
            </w:r>
          </w:p>
        </w:tc>
        <w:tc>
          <w:tcPr>
            <w:tcW w:w="387" w:type="dxa"/>
            <w:gridSpan w:val="2"/>
            <w:vMerge w:val="restart"/>
          </w:tcPr>
          <w:p>
            <w:pPr>
              <w:pStyle w:val="TableParagraph"/>
              <w:spacing w:before="2"/>
              <w:rPr>
                <w:rFonts w:ascii="黑体"/>
                <w:sz w:val="14"/>
              </w:rPr>
            </w:pPr>
          </w:p>
          <w:p>
            <w:pPr>
              <w:pStyle w:val="TableParagraph"/>
              <w:spacing w:line="415" w:lineRule="auto" w:before="1"/>
              <w:ind w:left="103" w:right="91"/>
              <w:rPr>
                <w:sz w:val="18"/>
              </w:rPr>
            </w:pPr>
            <w:r>
              <w:rPr>
                <w:sz w:val="18"/>
              </w:rPr>
              <w:t>故障</w:t>
            </w:r>
          </w:p>
        </w:tc>
        <w:tc>
          <w:tcPr>
            <w:tcW w:w="334" w:type="dxa"/>
            <w:vMerge w:val="restart"/>
          </w:tcPr>
          <w:p>
            <w:pPr>
              <w:pStyle w:val="TableParagraph"/>
              <w:spacing w:before="2"/>
              <w:rPr>
                <w:rFonts w:ascii="黑体"/>
                <w:sz w:val="14"/>
              </w:rPr>
            </w:pPr>
          </w:p>
          <w:p>
            <w:pPr>
              <w:pStyle w:val="TableParagraph"/>
              <w:spacing w:line="415" w:lineRule="auto" w:before="1"/>
              <w:ind w:left="96" w:right="45"/>
              <w:rPr>
                <w:sz w:val="18"/>
              </w:rPr>
            </w:pPr>
            <w:r>
              <w:rPr>
                <w:sz w:val="18"/>
              </w:rPr>
              <w:t>火警</w:t>
            </w:r>
          </w:p>
        </w:tc>
        <w:tc>
          <w:tcPr>
            <w:tcW w:w="440" w:type="dxa"/>
            <w:vMerge w:val="restart"/>
          </w:tcPr>
          <w:p>
            <w:pPr>
              <w:pStyle w:val="TableParagraph"/>
              <w:spacing w:before="2"/>
              <w:rPr>
                <w:rFonts w:ascii="黑体"/>
                <w:sz w:val="14"/>
              </w:rPr>
            </w:pPr>
          </w:p>
          <w:p>
            <w:pPr>
              <w:pStyle w:val="TableParagraph"/>
              <w:spacing w:line="415" w:lineRule="auto" w:before="1"/>
              <w:ind w:left="146" w:right="101"/>
              <w:rPr>
                <w:sz w:val="18"/>
              </w:rPr>
            </w:pPr>
            <w:r>
              <w:rPr>
                <w:sz w:val="18"/>
              </w:rPr>
              <w:t>误报</w:t>
            </w:r>
          </w:p>
        </w:tc>
        <w:tc>
          <w:tcPr>
            <w:tcW w:w="387" w:type="dxa"/>
            <w:vMerge w:val="restart"/>
          </w:tcPr>
          <w:p>
            <w:pPr>
              <w:pStyle w:val="TableParagraph"/>
              <w:spacing w:line="208" w:lineRule="auto" w:before="105"/>
              <w:ind w:left="112" w:right="101"/>
              <w:jc w:val="both"/>
              <w:rPr>
                <w:sz w:val="18"/>
              </w:rPr>
            </w:pPr>
            <w:r>
              <w:rPr>
                <w:w w:val="90"/>
                <w:sz w:val="18"/>
              </w:rPr>
              <w:t>故障报警</w:t>
            </w:r>
          </w:p>
        </w:tc>
        <w:tc>
          <w:tcPr>
            <w:tcW w:w="412" w:type="dxa"/>
            <w:gridSpan w:val="2"/>
            <w:vMerge w:val="restart"/>
          </w:tcPr>
          <w:p>
            <w:pPr>
              <w:pStyle w:val="TableParagraph"/>
              <w:spacing w:before="2"/>
              <w:rPr>
                <w:rFonts w:ascii="黑体"/>
                <w:sz w:val="14"/>
              </w:rPr>
            </w:pPr>
          </w:p>
          <w:p>
            <w:pPr>
              <w:pStyle w:val="TableParagraph"/>
              <w:spacing w:line="415" w:lineRule="auto" w:before="1"/>
              <w:ind w:left="114" w:right="105"/>
              <w:rPr>
                <w:sz w:val="18"/>
              </w:rPr>
            </w:pPr>
            <w:r>
              <w:rPr>
                <w:sz w:val="18"/>
              </w:rPr>
              <w:t>漏报</w:t>
            </w:r>
          </w:p>
        </w:tc>
        <w:tc>
          <w:tcPr>
            <w:tcW w:w="751" w:type="dxa"/>
            <w:gridSpan w:val="3"/>
            <w:vMerge w:val="restart"/>
          </w:tcPr>
          <w:p>
            <w:pPr>
              <w:pStyle w:val="TableParagraph"/>
              <w:spacing w:before="43"/>
              <w:ind w:left="191"/>
              <w:rPr>
                <w:sz w:val="18"/>
              </w:rPr>
            </w:pPr>
            <w:r>
              <w:rPr>
                <w:sz w:val="18"/>
              </w:rPr>
              <w:t>正常</w:t>
            </w:r>
          </w:p>
        </w:tc>
        <w:tc>
          <w:tcPr>
            <w:tcW w:w="377" w:type="dxa"/>
            <w:vMerge w:val="restart"/>
          </w:tcPr>
          <w:p>
            <w:pPr>
              <w:pStyle w:val="TableParagraph"/>
              <w:spacing w:before="2"/>
              <w:rPr>
                <w:rFonts w:ascii="黑体"/>
                <w:sz w:val="14"/>
              </w:rPr>
            </w:pPr>
          </w:p>
          <w:p>
            <w:pPr>
              <w:pStyle w:val="TableParagraph"/>
              <w:spacing w:line="415" w:lineRule="auto" w:before="1"/>
              <w:ind w:left="96" w:right="88"/>
              <w:rPr>
                <w:sz w:val="18"/>
              </w:rPr>
            </w:pPr>
            <w:r>
              <w:rPr>
                <w:sz w:val="18"/>
              </w:rPr>
              <w:t>故障</w:t>
            </w:r>
          </w:p>
        </w:tc>
        <w:tc>
          <w:tcPr>
            <w:tcW w:w="593" w:type="dxa"/>
            <w:gridSpan w:val="2"/>
            <w:vMerge/>
            <w:tcBorders>
              <w:top w:val="nil"/>
            </w:tcBorders>
          </w:tcPr>
          <w:p>
            <w:pPr>
              <w:rPr>
                <w:sz w:val="2"/>
                <w:szCs w:val="2"/>
              </w:rPr>
            </w:pPr>
          </w:p>
        </w:tc>
        <w:tc>
          <w:tcPr>
            <w:tcW w:w="561" w:type="dxa"/>
            <w:vMerge w:val="restart"/>
          </w:tcPr>
          <w:p>
            <w:pPr>
              <w:pStyle w:val="TableParagraph"/>
              <w:tabs>
                <w:tab w:pos="561" w:val="left" w:leader="none"/>
              </w:tabs>
              <w:spacing w:line="216" w:lineRule="auto" w:before="4"/>
              <w:ind w:left="185" w:right="-15" w:hanging="154"/>
              <w:rPr>
                <w:sz w:val="18"/>
              </w:rPr>
            </w:pPr>
            <w:r>
              <w:rPr>
                <w:rFonts w:ascii="Times New Roman" w:eastAsia="Times New Roman"/>
                <w:sz w:val="18"/>
                <w:u w:val="single"/>
              </w:rPr>
              <w:t> </w:t>
              <w:tab/>
              <w:tab/>
            </w:r>
            <w:r>
              <w:rPr>
                <w:sz w:val="18"/>
              </w:rPr>
              <w:t>时至</w:t>
            </w:r>
          </w:p>
        </w:tc>
        <w:tc>
          <w:tcPr>
            <w:tcW w:w="542" w:type="dxa"/>
          </w:tcPr>
          <w:p>
            <w:pPr>
              <w:pStyle w:val="TableParagraph"/>
              <w:rPr>
                <w:rFonts w:ascii="Times New Roman"/>
                <w:sz w:val="12"/>
              </w:rPr>
            </w:pPr>
          </w:p>
        </w:tc>
        <w:tc>
          <w:tcPr>
            <w:tcW w:w="558" w:type="dxa"/>
          </w:tcPr>
          <w:p>
            <w:pPr>
              <w:pStyle w:val="TableParagraph"/>
              <w:rPr>
                <w:rFonts w:ascii="Times New Roman"/>
                <w:sz w:val="12"/>
              </w:rPr>
            </w:pPr>
          </w:p>
        </w:tc>
      </w:tr>
      <w:tr>
        <w:trPr>
          <w:trHeight w:val="126" w:hRule="atLeast"/>
        </w:trPr>
        <w:tc>
          <w:tcPr>
            <w:tcW w:w="374" w:type="dxa"/>
            <w:vMerge/>
            <w:tcBorders>
              <w:top w:val="nil"/>
            </w:tcBorders>
          </w:tcPr>
          <w:p>
            <w:pPr>
              <w:rPr>
                <w:sz w:val="2"/>
                <w:szCs w:val="2"/>
              </w:rPr>
            </w:pPr>
          </w:p>
        </w:tc>
        <w:tc>
          <w:tcPr>
            <w:tcW w:w="506" w:type="dxa"/>
            <w:vMerge/>
            <w:tcBorders>
              <w:top w:val="nil"/>
            </w:tcBorders>
          </w:tcPr>
          <w:p>
            <w:pPr>
              <w:rPr>
                <w:sz w:val="2"/>
                <w:szCs w:val="2"/>
              </w:rPr>
            </w:pPr>
          </w:p>
        </w:tc>
        <w:tc>
          <w:tcPr>
            <w:tcW w:w="372" w:type="dxa"/>
            <w:vMerge/>
            <w:tcBorders>
              <w:top w:val="nil"/>
            </w:tcBorders>
          </w:tcPr>
          <w:p>
            <w:pPr>
              <w:rPr>
                <w:sz w:val="2"/>
                <w:szCs w:val="2"/>
              </w:rPr>
            </w:pPr>
          </w:p>
        </w:tc>
        <w:tc>
          <w:tcPr>
            <w:tcW w:w="387" w:type="dxa"/>
            <w:gridSpan w:val="2"/>
            <w:vMerge/>
            <w:tcBorders>
              <w:top w:val="nil"/>
            </w:tcBorders>
          </w:tcPr>
          <w:p>
            <w:pPr>
              <w:rPr>
                <w:sz w:val="2"/>
                <w:szCs w:val="2"/>
              </w:rPr>
            </w:pPr>
          </w:p>
        </w:tc>
        <w:tc>
          <w:tcPr>
            <w:tcW w:w="334" w:type="dxa"/>
            <w:vMerge/>
            <w:tcBorders>
              <w:top w:val="nil"/>
            </w:tcBorders>
          </w:tcPr>
          <w:p>
            <w:pPr>
              <w:rPr>
                <w:sz w:val="2"/>
                <w:szCs w:val="2"/>
              </w:rPr>
            </w:pPr>
          </w:p>
        </w:tc>
        <w:tc>
          <w:tcPr>
            <w:tcW w:w="440" w:type="dxa"/>
            <w:vMerge/>
            <w:tcBorders>
              <w:top w:val="nil"/>
            </w:tcBorders>
          </w:tcPr>
          <w:p>
            <w:pPr>
              <w:rPr>
                <w:sz w:val="2"/>
                <w:szCs w:val="2"/>
              </w:rPr>
            </w:pPr>
          </w:p>
        </w:tc>
        <w:tc>
          <w:tcPr>
            <w:tcW w:w="387" w:type="dxa"/>
            <w:vMerge/>
            <w:tcBorders>
              <w:top w:val="nil"/>
            </w:tcBorders>
          </w:tcPr>
          <w:p>
            <w:pPr>
              <w:rPr>
                <w:sz w:val="2"/>
                <w:szCs w:val="2"/>
              </w:rPr>
            </w:pPr>
          </w:p>
        </w:tc>
        <w:tc>
          <w:tcPr>
            <w:tcW w:w="412" w:type="dxa"/>
            <w:gridSpan w:val="2"/>
            <w:vMerge/>
            <w:tcBorders>
              <w:top w:val="nil"/>
            </w:tcBorders>
          </w:tcPr>
          <w:p>
            <w:pPr>
              <w:rPr>
                <w:sz w:val="2"/>
                <w:szCs w:val="2"/>
              </w:rPr>
            </w:pPr>
          </w:p>
        </w:tc>
        <w:tc>
          <w:tcPr>
            <w:tcW w:w="751" w:type="dxa"/>
            <w:gridSpan w:val="3"/>
            <w:vMerge/>
            <w:tcBorders>
              <w:top w:val="nil"/>
            </w:tcBorders>
          </w:tcPr>
          <w:p>
            <w:pPr>
              <w:rPr>
                <w:sz w:val="2"/>
                <w:szCs w:val="2"/>
              </w:rPr>
            </w:pPr>
          </w:p>
        </w:tc>
        <w:tc>
          <w:tcPr>
            <w:tcW w:w="377" w:type="dxa"/>
            <w:vMerge/>
            <w:tcBorders>
              <w:top w:val="nil"/>
            </w:tcBorders>
          </w:tcPr>
          <w:p>
            <w:pPr>
              <w:rPr>
                <w:sz w:val="2"/>
                <w:szCs w:val="2"/>
              </w:rPr>
            </w:pPr>
          </w:p>
        </w:tc>
        <w:tc>
          <w:tcPr>
            <w:tcW w:w="593" w:type="dxa"/>
            <w:gridSpan w:val="2"/>
            <w:vMerge/>
            <w:tcBorders>
              <w:top w:val="nil"/>
            </w:tcBorders>
          </w:tcPr>
          <w:p>
            <w:pPr>
              <w:rPr>
                <w:sz w:val="2"/>
                <w:szCs w:val="2"/>
              </w:rPr>
            </w:pPr>
          </w:p>
        </w:tc>
        <w:tc>
          <w:tcPr>
            <w:tcW w:w="561" w:type="dxa"/>
            <w:vMerge/>
            <w:tcBorders>
              <w:top w:val="nil"/>
            </w:tcBorders>
          </w:tcPr>
          <w:p>
            <w:pPr>
              <w:rPr>
                <w:sz w:val="2"/>
                <w:szCs w:val="2"/>
              </w:rPr>
            </w:pPr>
          </w:p>
        </w:tc>
        <w:tc>
          <w:tcPr>
            <w:tcW w:w="542" w:type="dxa"/>
            <w:vMerge w:val="restart"/>
          </w:tcPr>
          <w:p>
            <w:pPr>
              <w:pStyle w:val="TableParagraph"/>
              <w:spacing w:line="206" w:lineRule="auto" w:before="8"/>
              <w:ind w:left="176" w:right="137" w:firstLine="36"/>
              <w:rPr>
                <w:sz w:val="18"/>
              </w:rPr>
            </w:pPr>
            <w:r>
              <w:rPr>
                <w:sz w:val="18"/>
              </w:rPr>
              <w:t>时至</w:t>
            </w:r>
          </w:p>
        </w:tc>
        <w:tc>
          <w:tcPr>
            <w:tcW w:w="558" w:type="dxa"/>
            <w:vMerge w:val="restart"/>
          </w:tcPr>
          <w:p>
            <w:pPr>
              <w:pStyle w:val="TableParagraph"/>
              <w:spacing w:line="206" w:lineRule="auto" w:before="8"/>
              <w:ind w:left="186" w:right="153" w:firstLine="26"/>
              <w:rPr>
                <w:sz w:val="18"/>
              </w:rPr>
            </w:pPr>
            <w:r>
              <w:rPr>
                <w:sz w:val="18"/>
              </w:rPr>
              <w:t>时至</w:t>
            </w:r>
          </w:p>
        </w:tc>
      </w:tr>
      <w:tr>
        <w:trPr>
          <w:trHeight w:val="453" w:hRule="atLeast"/>
        </w:trPr>
        <w:tc>
          <w:tcPr>
            <w:tcW w:w="374" w:type="dxa"/>
            <w:vMerge/>
            <w:tcBorders>
              <w:top w:val="nil"/>
            </w:tcBorders>
          </w:tcPr>
          <w:p>
            <w:pPr>
              <w:rPr>
                <w:sz w:val="2"/>
                <w:szCs w:val="2"/>
              </w:rPr>
            </w:pPr>
          </w:p>
        </w:tc>
        <w:tc>
          <w:tcPr>
            <w:tcW w:w="506" w:type="dxa"/>
            <w:vMerge/>
            <w:tcBorders>
              <w:top w:val="nil"/>
            </w:tcBorders>
          </w:tcPr>
          <w:p>
            <w:pPr>
              <w:rPr>
                <w:sz w:val="2"/>
                <w:szCs w:val="2"/>
              </w:rPr>
            </w:pPr>
          </w:p>
        </w:tc>
        <w:tc>
          <w:tcPr>
            <w:tcW w:w="372" w:type="dxa"/>
            <w:vMerge/>
            <w:tcBorders>
              <w:top w:val="nil"/>
            </w:tcBorders>
          </w:tcPr>
          <w:p>
            <w:pPr>
              <w:rPr>
                <w:sz w:val="2"/>
                <w:szCs w:val="2"/>
              </w:rPr>
            </w:pPr>
          </w:p>
        </w:tc>
        <w:tc>
          <w:tcPr>
            <w:tcW w:w="387" w:type="dxa"/>
            <w:gridSpan w:val="2"/>
            <w:vMerge/>
            <w:tcBorders>
              <w:top w:val="nil"/>
            </w:tcBorders>
          </w:tcPr>
          <w:p>
            <w:pPr>
              <w:rPr>
                <w:sz w:val="2"/>
                <w:szCs w:val="2"/>
              </w:rPr>
            </w:pPr>
          </w:p>
        </w:tc>
        <w:tc>
          <w:tcPr>
            <w:tcW w:w="334" w:type="dxa"/>
            <w:vMerge/>
            <w:tcBorders>
              <w:top w:val="nil"/>
            </w:tcBorders>
          </w:tcPr>
          <w:p>
            <w:pPr>
              <w:rPr>
                <w:sz w:val="2"/>
                <w:szCs w:val="2"/>
              </w:rPr>
            </w:pPr>
          </w:p>
        </w:tc>
        <w:tc>
          <w:tcPr>
            <w:tcW w:w="440" w:type="dxa"/>
            <w:vMerge/>
            <w:tcBorders>
              <w:top w:val="nil"/>
            </w:tcBorders>
          </w:tcPr>
          <w:p>
            <w:pPr>
              <w:rPr>
                <w:sz w:val="2"/>
                <w:szCs w:val="2"/>
              </w:rPr>
            </w:pPr>
          </w:p>
        </w:tc>
        <w:tc>
          <w:tcPr>
            <w:tcW w:w="387" w:type="dxa"/>
            <w:vMerge/>
            <w:tcBorders>
              <w:top w:val="nil"/>
            </w:tcBorders>
          </w:tcPr>
          <w:p>
            <w:pPr>
              <w:rPr>
                <w:sz w:val="2"/>
                <w:szCs w:val="2"/>
              </w:rPr>
            </w:pPr>
          </w:p>
        </w:tc>
        <w:tc>
          <w:tcPr>
            <w:tcW w:w="412" w:type="dxa"/>
            <w:gridSpan w:val="2"/>
            <w:vMerge/>
            <w:tcBorders>
              <w:top w:val="nil"/>
            </w:tcBorders>
          </w:tcPr>
          <w:p>
            <w:pPr>
              <w:rPr>
                <w:sz w:val="2"/>
                <w:szCs w:val="2"/>
              </w:rPr>
            </w:pPr>
          </w:p>
        </w:tc>
        <w:tc>
          <w:tcPr>
            <w:tcW w:w="376" w:type="dxa"/>
            <w:gridSpan w:val="2"/>
            <w:vMerge w:val="restart"/>
          </w:tcPr>
          <w:p>
            <w:pPr>
              <w:pStyle w:val="TableParagraph"/>
              <w:spacing w:line="206" w:lineRule="auto" w:before="137"/>
              <w:ind w:left="93" w:right="90"/>
              <w:rPr>
                <w:sz w:val="18"/>
              </w:rPr>
            </w:pPr>
            <w:r>
              <w:rPr>
                <w:sz w:val="18"/>
              </w:rPr>
              <w:t>自动</w:t>
            </w:r>
          </w:p>
        </w:tc>
        <w:tc>
          <w:tcPr>
            <w:tcW w:w="375" w:type="dxa"/>
            <w:vMerge w:val="restart"/>
          </w:tcPr>
          <w:p>
            <w:pPr>
              <w:pStyle w:val="TableParagraph"/>
              <w:spacing w:line="206" w:lineRule="auto" w:before="137"/>
              <w:ind w:left="94" w:right="88"/>
              <w:rPr>
                <w:sz w:val="18"/>
              </w:rPr>
            </w:pPr>
            <w:r>
              <w:rPr>
                <w:sz w:val="18"/>
              </w:rPr>
              <w:t>手动</w:t>
            </w:r>
          </w:p>
        </w:tc>
        <w:tc>
          <w:tcPr>
            <w:tcW w:w="377" w:type="dxa"/>
            <w:vMerge/>
            <w:tcBorders>
              <w:top w:val="nil"/>
            </w:tcBorders>
          </w:tcPr>
          <w:p>
            <w:pPr>
              <w:rPr>
                <w:sz w:val="2"/>
                <w:szCs w:val="2"/>
              </w:rPr>
            </w:pPr>
          </w:p>
        </w:tc>
        <w:tc>
          <w:tcPr>
            <w:tcW w:w="593" w:type="dxa"/>
            <w:gridSpan w:val="2"/>
            <w:vMerge/>
            <w:tcBorders>
              <w:top w:val="nil"/>
            </w:tcBorders>
          </w:tcPr>
          <w:p>
            <w:pPr>
              <w:rPr>
                <w:sz w:val="2"/>
                <w:szCs w:val="2"/>
              </w:rPr>
            </w:pPr>
          </w:p>
        </w:tc>
        <w:tc>
          <w:tcPr>
            <w:tcW w:w="561" w:type="dxa"/>
            <w:vMerge/>
            <w:tcBorders>
              <w:top w:val="nil"/>
            </w:tcBorders>
          </w:tcPr>
          <w:p>
            <w:pPr>
              <w:rPr>
                <w:sz w:val="2"/>
                <w:szCs w:val="2"/>
              </w:rPr>
            </w:pPr>
          </w:p>
        </w:tc>
        <w:tc>
          <w:tcPr>
            <w:tcW w:w="542" w:type="dxa"/>
            <w:vMerge/>
            <w:tcBorders>
              <w:top w:val="nil"/>
            </w:tcBorders>
          </w:tcPr>
          <w:p>
            <w:pPr>
              <w:rPr>
                <w:sz w:val="2"/>
                <w:szCs w:val="2"/>
              </w:rPr>
            </w:pPr>
          </w:p>
        </w:tc>
        <w:tc>
          <w:tcPr>
            <w:tcW w:w="558" w:type="dxa"/>
            <w:vMerge/>
            <w:tcBorders>
              <w:top w:val="nil"/>
            </w:tcBorders>
          </w:tcPr>
          <w:p>
            <w:pPr>
              <w:rPr>
                <w:sz w:val="2"/>
                <w:szCs w:val="2"/>
              </w:rPr>
            </w:pPr>
          </w:p>
        </w:tc>
      </w:tr>
      <w:tr>
        <w:trPr>
          <w:trHeight w:val="201" w:hRule="atLeast"/>
        </w:trPr>
        <w:tc>
          <w:tcPr>
            <w:tcW w:w="374" w:type="dxa"/>
            <w:vMerge/>
            <w:tcBorders>
              <w:top w:val="nil"/>
            </w:tcBorders>
          </w:tcPr>
          <w:p>
            <w:pPr>
              <w:rPr>
                <w:sz w:val="2"/>
                <w:szCs w:val="2"/>
              </w:rPr>
            </w:pPr>
          </w:p>
        </w:tc>
        <w:tc>
          <w:tcPr>
            <w:tcW w:w="506" w:type="dxa"/>
            <w:vMerge/>
            <w:tcBorders>
              <w:top w:val="nil"/>
            </w:tcBorders>
          </w:tcPr>
          <w:p>
            <w:pPr>
              <w:rPr>
                <w:sz w:val="2"/>
                <w:szCs w:val="2"/>
              </w:rPr>
            </w:pPr>
          </w:p>
        </w:tc>
        <w:tc>
          <w:tcPr>
            <w:tcW w:w="372" w:type="dxa"/>
            <w:vMerge/>
            <w:tcBorders>
              <w:top w:val="nil"/>
            </w:tcBorders>
          </w:tcPr>
          <w:p>
            <w:pPr>
              <w:rPr>
                <w:sz w:val="2"/>
                <w:szCs w:val="2"/>
              </w:rPr>
            </w:pPr>
          </w:p>
        </w:tc>
        <w:tc>
          <w:tcPr>
            <w:tcW w:w="387" w:type="dxa"/>
            <w:gridSpan w:val="2"/>
            <w:vMerge/>
            <w:tcBorders>
              <w:top w:val="nil"/>
            </w:tcBorders>
          </w:tcPr>
          <w:p>
            <w:pPr>
              <w:rPr>
                <w:sz w:val="2"/>
                <w:szCs w:val="2"/>
              </w:rPr>
            </w:pPr>
          </w:p>
        </w:tc>
        <w:tc>
          <w:tcPr>
            <w:tcW w:w="334" w:type="dxa"/>
            <w:vMerge/>
            <w:tcBorders>
              <w:top w:val="nil"/>
            </w:tcBorders>
          </w:tcPr>
          <w:p>
            <w:pPr>
              <w:rPr>
                <w:sz w:val="2"/>
                <w:szCs w:val="2"/>
              </w:rPr>
            </w:pPr>
          </w:p>
        </w:tc>
        <w:tc>
          <w:tcPr>
            <w:tcW w:w="440" w:type="dxa"/>
            <w:vMerge/>
            <w:tcBorders>
              <w:top w:val="nil"/>
            </w:tcBorders>
          </w:tcPr>
          <w:p>
            <w:pPr>
              <w:rPr>
                <w:sz w:val="2"/>
                <w:szCs w:val="2"/>
              </w:rPr>
            </w:pPr>
          </w:p>
        </w:tc>
        <w:tc>
          <w:tcPr>
            <w:tcW w:w="387" w:type="dxa"/>
            <w:vMerge/>
            <w:tcBorders>
              <w:top w:val="nil"/>
            </w:tcBorders>
          </w:tcPr>
          <w:p>
            <w:pPr>
              <w:rPr>
                <w:sz w:val="2"/>
                <w:szCs w:val="2"/>
              </w:rPr>
            </w:pPr>
          </w:p>
        </w:tc>
        <w:tc>
          <w:tcPr>
            <w:tcW w:w="412" w:type="dxa"/>
            <w:gridSpan w:val="2"/>
            <w:vMerge/>
            <w:tcBorders>
              <w:top w:val="nil"/>
            </w:tcBorders>
          </w:tcPr>
          <w:p>
            <w:pPr>
              <w:rPr>
                <w:sz w:val="2"/>
                <w:szCs w:val="2"/>
              </w:rPr>
            </w:pPr>
          </w:p>
        </w:tc>
        <w:tc>
          <w:tcPr>
            <w:tcW w:w="376" w:type="dxa"/>
            <w:gridSpan w:val="2"/>
            <w:vMerge/>
            <w:tcBorders>
              <w:top w:val="nil"/>
            </w:tcBorders>
          </w:tcPr>
          <w:p>
            <w:pPr>
              <w:rPr>
                <w:sz w:val="2"/>
                <w:szCs w:val="2"/>
              </w:rPr>
            </w:pPr>
          </w:p>
        </w:tc>
        <w:tc>
          <w:tcPr>
            <w:tcW w:w="375" w:type="dxa"/>
            <w:vMerge/>
            <w:tcBorders>
              <w:top w:val="nil"/>
            </w:tcBorders>
          </w:tcPr>
          <w:p>
            <w:pPr>
              <w:rPr>
                <w:sz w:val="2"/>
                <w:szCs w:val="2"/>
              </w:rPr>
            </w:pPr>
          </w:p>
        </w:tc>
        <w:tc>
          <w:tcPr>
            <w:tcW w:w="377" w:type="dxa"/>
            <w:vMerge/>
            <w:tcBorders>
              <w:top w:val="nil"/>
            </w:tcBorders>
          </w:tcPr>
          <w:p>
            <w:pPr>
              <w:rPr>
                <w:sz w:val="2"/>
                <w:szCs w:val="2"/>
              </w:rPr>
            </w:pPr>
          </w:p>
        </w:tc>
        <w:tc>
          <w:tcPr>
            <w:tcW w:w="593" w:type="dxa"/>
            <w:gridSpan w:val="2"/>
            <w:vMerge/>
            <w:tcBorders>
              <w:top w:val="nil"/>
            </w:tcBorders>
          </w:tcPr>
          <w:p>
            <w:pPr>
              <w:rPr>
                <w:sz w:val="2"/>
                <w:szCs w:val="2"/>
              </w:rPr>
            </w:pPr>
          </w:p>
        </w:tc>
        <w:tc>
          <w:tcPr>
            <w:tcW w:w="561" w:type="dxa"/>
          </w:tcPr>
          <w:p>
            <w:pPr>
              <w:pStyle w:val="TableParagraph"/>
              <w:spacing w:line="181" w:lineRule="exact"/>
              <w:ind w:left="211"/>
              <w:rPr>
                <w:sz w:val="18"/>
              </w:rPr>
            </w:pPr>
            <w:r>
              <w:rPr>
                <w:sz w:val="18"/>
              </w:rPr>
              <w:t>时</w:t>
            </w:r>
          </w:p>
        </w:tc>
        <w:tc>
          <w:tcPr>
            <w:tcW w:w="542" w:type="dxa"/>
          </w:tcPr>
          <w:p>
            <w:pPr>
              <w:pStyle w:val="TableParagraph"/>
              <w:spacing w:line="181" w:lineRule="exact"/>
              <w:ind w:left="120"/>
              <w:rPr>
                <w:sz w:val="18"/>
              </w:rPr>
            </w:pPr>
            <w:r>
              <w:rPr>
                <w:sz w:val="18"/>
              </w:rPr>
              <w:t>时</w:t>
            </w:r>
          </w:p>
        </w:tc>
        <w:tc>
          <w:tcPr>
            <w:tcW w:w="558" w:type="dxa"/>
          </w:tcPr>
          <w:p>
            <w:pPr>
              <w:pStyle w:val="TableParagraph"/>
              <w:spacing w:line="181" w:lineRule="exact"/>
              <w:ind w:left="212"/>
              <w:rPr>
                <w:sz w:val="18"/>
              </w:rPr>
            </w:pPr>
            <w:r>
              <w:rPr>
                <w:sz w:val="18"/>
              </w:rPr>
              <w:t>时</w:t>
            </w:r>
          </w:p>
        </w:tc>
      </w:tr>
      <w:tr>
        <w:trPr>
          <w:trHeight w:val="491"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492"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491"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494"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491"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491"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491"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372" w:type="dxa"/>
          </w:tcPr>
          <w:p>
            <w:pPr>
              <w:pStyle w:val="TableParagraph"/>
              <w:rPr>
                <w:rFonts w:ascii="Times New Roman"/>
                <w:sz w:val="18"/>
              </w:rPr>
            </w:pPr>
          </w:p>
        </w:tc>
        <w:tc>
          <w:tcPr>
            <w:tcW w:w="387" w:type="dxa"/>
            <w:gridSpan w:val="2"/>
          </w:tcPr>
          <w:p>
            <w:pPr>
              <w:pStyle w:val="TableParagraph"/>
              <w:rPr>
                <w:rFonts w:ascii="Times New Roman"/>
                <w:sz w:val="18"/>
              </w:rPr>
            </w:pPr>
          </w:p>
        </w:tc>
        <w:tc>
          <w:tcPr>
            <w:tcW w:w="334" w:type="dxa"/>
          </w:tcPr>
          <w:p>
            <w:pPr>
              <w:pStyle w:val="TableParagraph"/>
              <w:rPr>
                <w:rFonts w:ascii="Times New Roman"/>
                <w:sz w:val="18"/>
              </w:rPr>
            </w:pPr>
          </w:p>
        </w:tc>
        <w:tc>
          <w:tcPr>
            <w:tcW w:w="440" w:type="dxa"/>
          </w:tcPr>
          <w:p>
            <w:pPr>
              <w:pStyle w:val="TableParagraph"/>
              <w:rPr>
                <w:rFonts w:ascii="Times New Roman"/>
                <w:sz w:val="18"/>
              </w:rPr>
            </w:pPr>
          </w:p>
        </w:tc>
        <w:tc>
          <w:tcPr>
            <w:tcW w:w="387" w:type="dxa"/>
          </w:tcPr>
          <w:p>
            <w:pPr>
              <w:pStyle w:val="TableParagraph"/>
              <w:rPr>
                <w:rFonts w:ascii="Times New Roman"/>
                <w:sz w:val="18"/>
              </w:rPr>
            </w:pPr>
          </w:p>
        </w:tc>
        <w:tc>
          <w:tcPr>
            <w:tcW w:w="412" w:type="dxa"/>
            <w:gridSpan w:val="2"/>
          </w:tcPr>
          <w:p>
            <w:pPr>
              <w:pStyle w:val="TableParagraph"/>
              <w:rPr>
                <w:rFonts w:ascii="Times New Roman"/>
                <w:sz w:val="18"/>
              </w:rPr>
            </w:pPr>
          </w:p>
        </w:tc>
        <w:tc>
          <w:tcPr>
            <w:tcW w:w="376" w:type="dxa"/>
            <w:gridSpan w:val="2"/>
          </w:tcPr>
          <w:p>
            <w:pPr>
              <w:pStyle w:val="TableParagraph"/>
              <w:rPr>
                <w:rFonts w:ascii="Times New Roman"/>
                <w:sz w:val="18"/>
              </w:rPr>
            </w:pPr>
          </w:p>
        </w:tc>
        <w:tc>
          <w:tcPr>
            <w:tcW w:w="375" w:type="dxa"/>
          </w:tcPr>
          <w:p>
            <w:pPr>
              <w:pStyle w:val="TableParagraph"/>
              <w:rPr>
                <w:rFonts w:ascii="Times New Roman"/>
                <w:sz w:val="18"/>
              </w:rPr>
            </w:pPr>
          </w:p>
        </w:tc>
        <w:tc>
          <w:tcPr>
            <w:tcW w:w="377" w:type="dxa"/>
          </w:tcPr>
          <w:p>
            <w:pPr>
              <w:pStyle w:val="TableParagraph"/>
              <w:rPr>
                <w:rFonts w:ascii="Times New Roman"/>
                <w:sz w:val="18"/>
              </w:rPr>
            </w:pPr>
          </w:p>
        </w:tc>
        <w:tc>
          <w:tcPr>
            <w:tcW w:w="593" w:type="dxa"/>
            <w:gridSpan w:val="2"/>
          </w:tcPr>
          <w:p>
            <w:pPr>
              <w:pStyle w:val="TableParagraph"/>
              <w:rPr>
                <w:rFonts w:ascii="Times New Roman"/>
                <w:sz w:val="18"/>
              </w:rPr>
            </w:pPr>
          </w:p>
        </w:tc>
        <w:tc>
          <w:tcPr>
            <w:tcW w:w="561" w:type="dxa"/>
          </w:tcPr>
          <w:p>
            <w:pPr>
              <w:pStyle w:val="TableParagraph"/>
              <w:rPr>
                <w:rFonts w:ascii="Times New Roman"/>
                <w:sz w:val="18"/>
              </w:rPr>
            </w:pPr>
          </w:p>
        </w:tc>
        <w:tc>
          <w:tcPr>
            <w:tcW w:w="542" w:type="dxa"/>
          </w:tcPr>
          <w:p>
            <w:pPr>
              <w:pStyle w:val="TableParagraph"/>
              <w:rPr>
                <w:rFonts w:ascii="Times New Roman"/>
                <w:sz w:val="18"/>
              </w:rPr>
            </w:pPr>
          </w:p>
        </w:tc>
        <w:tc>
          <w:tcPr>
            <w:tcW w:w="558" w:type="dxa"/>
          </w:tcPr>
          <w:p>
            <w:pPr>
              <w:pStyle w:val="TableParagraph"/>
              <w:rPr>
                <w:rFonts w:ascii="Times New Roman"/>
                <w:sz w:val="18"/>
              </w:rPr>
            </w:pPr>
          </w:p>
        </w:tc>
      </w:tr>
      <w:tr>
        <w:trPr>
          <w:trHeight w:val="1000" w:hRule="atLeast"/>
        </w:trPr>
        <w:tc>
          <w:tcPr>
            <w:tcW w:w="374" w:type="dxa"/>
            <w:vMerge w:val="restart"/>
          </w:tcPr>
          <w:p>
            <w:pPr>
              <w:pStyle w:val="TableParagraph"/>
              <w:rPr>
                <w:rFonts w:ascii="黑体"/>
                <w:sz w:val="18"/>
              </w:rPr>
            </w:pPr>
          </w:p>
          <w:p>
            <w:pPr>
              <w:pStyle w:val="TableParagraph"/>
              <w:spacing w:before="1"/>
              <w:rPr>
                <w:rFonts w:ascii="黑体"/>
                <w:sz w:val="20"/>
              </w:rPr>
            </w:pPr>
          </w:p>
          <w:p>
            <w:pPr>
              <w:pStyle w:val="TableParagraph"/>
              <w:spacing w:line="208" w:lineRule="auto" w:before="1"/>
              <w:ind w:left="95" w:right="86"/>
              <w:jc w:val="both"/>
              <w:rPr>
                <w:sz w:val="18"/>
              </w:rPr>
            </w:pPr>
            <w:r>
              <w:rPr>
                <w:sz w:val="18"/>
              </w:rPr>
              <w:t>火灾报警控制器日检查情况记录</w:t>
            </w:r>
          </w:p>
        </w:tc>
        <w:tc>
          <w:tcPr>
            <w:tcW w:w="506" w:type="dxa"/>
          </w:tcPr>
          <w:p>
            <w:pPr>
              <w:pStyle w:val="TableParagraph"/>
              <w:spacing w:line="208" w:lineRule="auto" w:before="4"/>
              <w:ind w:left="74" w:right="59"/>
              <w:jc w:val="both"/>
              <w:rPr>
                <w:sz w:val="18"/>
              </w:rPr>
            </w:pPr>
            <w:r>
              <w:rPr>
                <w:sz w:val="18"/>
              </w:rPr>
              <w:t>火灾报警控制器型</w:t>
            </w:r>
          </w:p>
          <w:p>
            <w:pPr>
              <w:pStyle w:val="TableParagraph"/>
              <w:spacing w:line="174" w:lineRule="exact"/>
              <w:ind w:left="163"/>
              <w:rPr>
                <w:sz w:val="18"/>
              </w:rPr>
            </w:pPr>
            <w:r>
              <w:rPr>
                <w:sz w:val="18"/>
              </w:rPr>
              <w:t>号</w:t>
            </w:r>
          </w:p>
        </w:tc>
        <w:tc>
          <w:tcPr>
            <w:tcW w:w="543" w:type="dxa"/>
            <w:gridSpan w:val="2"/>
          </w:tcPr>
          <w:p>
            <w:pPr>
              <w:pStyle w:val="TableParagraph"/>
              <w:rPr>
                <w:rFonts w:ascii="黑体"/>
                <w:sz w:val="18"/>
              </w:rPr>
            </w:pPr>
          </w:p>
          <w:p>
            <w:pPr>
              <w:pStyle w:val="TableParagraph"/>
              <w:spacing w:before="150"/>
              <w:ind w:left="91"/>
              <w:rPr>
                <w:sz w:val="18"/>
              </w:rPr>
            </w:pPr>
            <w:r>
              <w:rPr>
                <w:sz w:val="18"/>
              </w:rPr>
              <w:t>自检</w:t>
            </w:r>
          </w:p>
        </w:tc>
        <w:tc>
          <w:tcPr>
            <w:tcW w:w="550" w:type="dxa"/>
            <w:gridSpan w:val="2"/>
          </w:tcPr>
          <w:p>
            <w:pPr>
              <w:pStyle w:val="TableParagraph"/>
              <w:rPr>
                <w:rFonts w:ascii="黑体"/>
                <w:sz w:val="18"/>
              </w:rPr>
            </w:pPr>
          </w:p>
          <w:p>
            <w:pPr>
              <w:pStyle w:val="TableParagraph"/>
              <w:spacing w:before="150"/>
              <w:ind w:left="77"/>
              <w:rPr>
                <w:sz w:val="18"/>
              </w:rPr>
            </w:pPr>
            <w:r>
              <w:rPr>
                <w:sz w:val="18"/>
              </w:rPr>
              <w:t>消音</w:t>
            </w:r>
          </w:p>
        </w:tc>
        <w:tc>
          <w:tcPr>
            <w:tcW w:w="440" w:type="dxa"/>
          </w:tcPr>
          <w:p>
            <w:pPr>
              <w:pStyle w:val="TableParagraph"/>
              <w:rPr>
                <w:rFonts w:ascii="黑体"/>
                <w:sz w:val="18"/>
              </w:rPr>
            </w:pPr>
          </w:p>
          <w:p>
            <w:pPr>
              <w:pStyle w:val="TableParagraph"/>
              <w:spacing w:before="150"/>
              <w:ind w:left="24"/>
              <w:rPr>
                <w:sz w:val="18"/>
              </w:rPr>
            </w:pPr>
            <w:r>
              <w:rPr>
                <w:sz w:val="18"/>
              </w:rPr>
              <w:t>复位</w:t>
            </w:r>
          </w:p>
        </w:tc>
        <w:tc>
          <w:tcPr>
            <w:tcW w:w="537" w:type="dxa"/>
            <w:gridSpan w:val="2"/>
          </w:tcPr>
          <w:p>
            <w:pPr>
              <w:pStyle w:val="TableParagraph"/>
              <w:spacing w:before="2"/>
              <w:rPr>
                <w:rFonts w:ascii="黑体"/>
                <w:sz w:val="16"/>
              </w:rPr>
            </w:pPr>
          </w:p>
          <w:p>
            <w:pPr>
              <w:pStyle w:val="TableParagraph"/>
              <w:spacing w:line="206" w:lineRule="auto"/>
              <w:ind w:left="179" w:right="165"/>
              <w:jc w:val="both"/>
              <w:rPr>
                <w:sz w:val="18"/>
              </w:rPr>
            </w:pPr>
            <w:r>
              <w:rPr>
                <w:sz w:val="18"/>
              </w:rPr>
              <w:t>主电源</w:t>
            </w:r>
          </w:p>
        </w:tc>
        <w:tc>
          <w:tcPr>
            <w:tcW w:w="522" w:type="dxa"/>
            <w:gridSpan w:val="2"/>
          </w:tcPr>
          <w:p>
            <w:pPr>
              <w:pStyle w:val="TableParagraph"/>
              <w:spacing w:line="208" w:lineRule="auto" w:before="104"/>
              <w:ind w:left="170" w:right="159"/>
              <w:jc w:val="both"/>
              <w:rPr>
                <w:sz w:val="18"/>
              </w:rPr>
            </w:pPr>
            <w:r>
              <w:rPr>
                <w:sz w:val="18"/>
              </w:rPr>
              <w:t>备用电源</w:t>
            </w:r>
          </w:p>
        </w:tc>
        <w:tc>
          <w:tcPr>
            <w:tcW w:w="1370" w:type="dxa"/>
            <w:gridSpan w:val="4"/>
          </w:tcPr>
          <w:p>
            <w:pPr>
              <w:pStyle w:val="TableParagraph"/>
              <w:rPr>
                <w:rFonts w:ascii="黑体"/>
                <w:sz w:val="18"/>
              </w:rPr>
            </w:pPr>
          </w:p>
          <w:p>
            <w:pPr>
              <w:pStyle w:val="TableParagraph"/>
              <w:spacing w:before="150"/>
              <w:ind w:left="409"/>
              <w:rPr>
                <w:sz w:val="18"/>
              </w:rPr>
            </w:pPr>
            <w:r>
              <w:rPr>
                <w:sz w:val="18"/>
              </w:rPr>
              <w:t>检查人</w:t>
            </w:r>
          </w:p>
        </w:tc>
        <w:tc>
          <w:tcPr>
            <w:tcW w:w="1752" w:type="dxa"/>
            <w:gridSpan w:val="4"/>
          </w:tcPr>
          <w:p>
            <w:pPr>
              <w:pStyle w:val="TableParagraph"/>
              <w:rPr>
                <w:rFonts w:ascii="黑体"/>
                <w:sz w:val="18"/>
              </w:rPr>
            </w:pPr>
          </w:p>
          <w:p>
            <w:pPr>
              <w:pStyle w:val="TableParagraph"/>
              <w:spacing w:before="150"/>
              <w:ind w:left="242"/>
              <w:rPr>
                <w:sz w:val="18"/>
              </w:rPr>
            </w:pPr>
            <w:r>
              <w:rPr>
                <w:sz w:val="18"/>
              </w:rPr>
              <w:t>故障及处理情况</w:t>
            </w:r>
          </w:p>
        </w:tc>
      </w:tr>
      <w:tr>
        <w:trPr>
          <w:trHeight w:val="486"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543" w:type="dxa"/>
            <w:gridSpan w:val="2"/>
          </w:tcPr>
          <w:p>
            <w:pPr>
              <w:pStyle w:val="TableParagraph"/>
              <w:rPr>
                <w:rFonts w:ascii="Times New Roman"/>
                <w:sz w:val="18"/>
              </w:rPr>
            </w:pPr>
          </w:p>
        </w:tc>
        <w:tc>
          <w:tcPr>
            <w:tcW w:w="550" w:type="dxa"/>
            <w:gridSpan w:val="2"/>
          </w:tcPr>
          <w:p>
            <w:pPr>
              <w:pStyle w:val="TableParagraph"/>
              <w:rPr>
                <w:rFonts w:ascii="Times New Roman"/>
                <w:sz w:val="18"/>
              </w:rPr>
            </w:pPr>
          </w:p>
        </w:tc>
        <w:tc>
          <w:tcPr>
            <w:tcW w:w="440" w:type="dxa"/>
          </w:tcPr>
          <w:p>
            <w:pPr>
              <w:pStyle w:val="TableParagraph"/>
              <w:rPr>
                <w:rFonts w:ascii="Times New Roman"/>
                <w:sz w:val="18"/>
              </w:rPr>
            </w:pPr>
          </w:p>
        </w:tc>
        <w:tc>
          <w:tcPr>
            <w:tcW w:w="537" w:type="dxa"/>
            <w:gridSpan w:val="2"/>
          </w:tcPr>
          <w:p>
            <w:pPr>
              <w:pStyle w:val="TableParagraph"/>
              <w:rPr>
                <w:rFonts w:ascii="Times New Roman"/>
                <w:sz w:val="18"/>
              </w:rPr>
            </w:pPr>
          </w:p>
        </w:tc>
        <w:tc>
          <w:tcPr>
            <w:tcW w:w="522" w:type="dxa"/>
            <w:gridSpan w:val="2"/>
          </w:tcPr>
          <w:p>
            <w:pPr>
              <w:pStyle w:val="TableParagraph"/>
              <w:rPr>
                <w:rFonts w:ascii="Times New Roman"/>
                <w:sz w:val="18"/>
              </w:rPr>
            </w:pPr>
          </w:p>
        </w:tc>
        <w:tc>
          <w:tcPr>
            <w:tcW w:w="1370" w:type="dxa"/>
            <w:gridSpan w:val="4"/>
          </w:tcPr>
          <w:p>
            <w:pPr>
              <w:pStyle w:val="TableParagraph"/>
              <w:rPr>
                <w:rFonts w:ascii="Times New Roman"/>
                <w:sz w:val="18"/>
              </w:rPr>
            </w:pPr>
          </w:p>
        </w:tc>
        <w:tc>
          <w:tcPr>
            <w:tcW w:w="1752" w:type="dxa"/>
            <w:gridSpan w:val="4"/>
          </w:tcPr>
          <w:p>
            <w:pPr>
              <w:pStyle w:val="TableParagraph"/>
              <w:rPr>
                <w:rFonts w:ascii="Times New Roman"/>
                <w:sz w:val="18"/>
              </w:rPr>
            </w:pPr>
          </w:p>
        </w:tc>
      </w:tr>
      <w:tr>
        <w:trPr>
          <w:trHeight w:val="556"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543" w:type="dxa"/>
            <w:gridSpan w:val="2"/>
          </w:tcPr>
          <w:p>
            <w:pPr>
              <w:pStyle w:val="TableParagraph"/>
              <w:rPr>
                <w:rFonts w:ascii="Times New Roman"/>
                <w:sz w:val="18"/>
              </w:rPr>
            </w:pPr>
          </w:p>
        </w:tc>
        <w:tc>
          <w:tcPr>
            <w:tcW w:w="550" w:type="dxa"/>
            <w:gridSpan w:val="2"/>
          </w:tcPr>
          <w:p>
            <w:pPr>
              <w:pStyle w:val="TableParagraph"/>
              <w:rPr>
                <w:rFonts w:ascii="Times New Roman"/>
                <w:sz w:val="18"/>
              </w:rPr>
            </w:pPr>
          </w:p>
        </w:tc>
        <w:tc>
          <w:tcPr>
            <w:tcW w:w="440" w:type="dxa"/>
          </w:tcPr>
          <w:p>
            <w:pPr>
              <w:pStyle w:val="TableParagraph"/>
              <w:rPr>
                <w:rFonts w:ascii="Times New Roman"/>
                <w:sz w:val="18"/>
              </w:rPr>
            </w:pPr>
          </w:p>
        </w:tc>
        <w:tc>
          <w:tcPr>
            <w:tcW w:w="537" w:type="dxa"/>
            <w:gridSpan w:val="2"/>
          </w:tcPr>
          <w:p>
            <w:pPr>
              <w:pStyle w:val="TableParagraph"/>
              <w:rPr>
                <w:rFonts w:ascii="Times New Roman"/>
                <w:sz w:val="18"/>
              </w:rPr>
            </w:pPr>
          </w:p>
        </w:tc>
        <w:tc>
          <w:tcPr>
            <w:tcW w:w="522" w:type="dxa"/>
            <w:gridSpan w:val="2"/>
          </w:tcPr>
          <w:p>
            <w:pPr>
              <w:pStyle w:val="TableParagraph"/>
              <w:rPr>
                <w:rFonts w:ascii="Times New Roman"/>
                <w:sz w:val="18"/>
              </w:rPr>
            </w:pPr>
          </w:p>
        </w:tc>
        <w:tc>
          <w:tcPr>
            <w:tcW w:w="1370" w:type="dxa"/>
            <w:gridSpan w:val="4"/>
          </w:tcPr>
          <w:p>
            <w:pPr>
              <w:pStyle w:val="TableParagraph"/>
              <w:rPr>
                <w:rFonts w:ascii="Times New Roman"/>
                <w:sz w:val="18"/>
              </w:rPr>
            </w:pPr>
          </w:p>
        </w:tc>
        <w:tc>
          <w:tcPr>
            <w:tcW w:w="1752" w:type="dxa"/>
            <w:gridSpan w:val="4"/>
          </w:tcPr>
          <w:p>
            <w:pPr>
              <w:pStyle w:val="TableParagraph"/>
              <w:rPr>
                <w:rFonts w:ascii="Times New Roman"/>
                <w:sz w:val="18"/>
              </w:rPr>
            </w:pPr>
          </w:p>
        </w:tc>
      </w:tr>
      <w:tr>
        <w:trPr>
          <w:trHeight w:val="559"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543" w:type="dxa"/>
            <w:gridSpan w:val="2"/>
          </w:tcPr>
          <w:p>
            <w:pPr>
              <w:pStyle w:val="TableParagraph"/>
              <w:rPr>
                <w:rFonts w:ascii="Times New Roman"/>
                <w:sz w:val="18"/>
              </w:rPr>
            </w:pPr>
          </w:p>
        </w:tc>
        <w:tc>
          <w:tcPr>
            <w:tcW w:w="550" w:type="dxa"/>
            <w:gridSpan w:val="2"/>
          </w:tcPr>
          <w:p>
            <w:pPr>
              <w:pStyle w:val="TableParagraph"/>
              <w:rPr>
                <w:rFonts w:ascii="Times New Roman"/>
                <w:sz w:val="18"/>
              </w:rPr>
            </w:pPr>
          </w:p>
        </w:tc>
        <w:tc>
          <w:tcPr>
            <w:tcW w:w="440" w:type="dxa"/>
          </w:tcPr>
          <w:p>
            <w:pPr>
              <w:pStyle w:val="TableParagraph"/>
              <w:rPr>
                <w:rFonts w:ascii="Times New Roman"/>
                <w:sz w:val="18"/>
              </w:rPr>
            </w:pPr>
          </w:p>
        </w:tc>
        <w:tc>
          <w:tcPr>
            <w:tcW w:w="537" w:type="dxa"/>
            <w:gridSpan w:val="2"/>
          </w:tcPr>
          <w:p>
            <w:pPr>
              <w:pStyle w:val="TableParagraph"/>
              <w:rPr>
                <w:rFonts w:ascii="Times New Roman"/>
                <w:sz w:val="18"/>
              </w:rPr>
            </w:pPr>
          </w:p>
        </w:tc>
        <w:tc>
          <w:tcPr>
            <w:tcW w:w="522" w:type="dxa"/>
            <w:gridSpan w:val="2"/>
          </w:tcPr>
          <w:p>
            <w:pPr>
              <w:pStyle w:val="TableParagraph"/>
              <w:rPr>
                <w:rFonts w:ascii="Times New Roman"/>
                <w:sz w:val="18"/>
              </w:rPr>
            </w:pPr>
          </w:p>
        </w:tc>
        <w:tc>
          <w:tcPr>
            <w:tcW w:w="1370" w:type="dxa"/>
            <w:gridSpan w:val="4"/>
          </w:tcPr>
          <w:p>
            <w:pPr>
              <w:pStyle w:val="TableParagraph"/>
              <w:rPr>
                <w:rFonts w:ascii="Times New Roman"/>
                <w:sz w:val="18"/>
              </w:rPr>
            </w:pPr>
          </w:p>
        </w:tc>
        <w:tc>
          <w:tcPr>
            <w:tcW w:w="1752" w:type="dxa"/>
            <w:gridSpan w:val="4"/>
          </w:tcPr>
          <w:p>
            <w:pPr>
              <w:pStyle w:val="TableParagraph"/>
              <w:rPr>
                <w:rFonts w:ascii="Times New Roman"/>
                <w:sz w:val="18"/>
              </w:rPr>
            </w:pPr>
          </w:p>
        </w:tc>
      </w:tr>
      <w:tr>
        <w:trPr>
          <w:trHeight w:val="558"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543" w:type="dxa"/>
            <w:gridSpan w:val="2"/>
          </w:tcPr>
          <w:p>
            <w:pPr>
              <w:pStyle w:val="TableParagraph"/>
              <w:rPr>
                <w:rFonts w:ascii="Times New Roman"/>
                <w:sz w:val="18"/>
              </w:rPr>
            </w:pPr>
          </w:p>
        </w:tc>
        <w:tc>
          <w:tcPr>
            <w:tcW w:w="550" w:type="dxa"/>
            <w:gridSpan w:val="2"/>
          </w:tcPr>
          <w:p>
            <w:pPr>
              <w:pStyle w:val="TableParagraph"/>
              <w:rPr>
                <w:rFonts w:ascii="Times New Roman"/>
                <w:sz w:val="18"/>
              </w:rPr>
            </w:pPr>
          </w:p>
        </w:tc>
        <w:tc>
          <w:tcPr>
            <w:tcW w:w="440" w:type="dxa"/>
          </w:tcPr>
          <w:p>
            <w:pPr>
              <w:pStyle w:val="TableParagraph"/>
              <w:rPr>
                <w:rFonts w:ascii="Times New Roman"/>
                <w:sz w:val="18"/>
              </w:rPr>
            </w:pPr>
          </w:p>
        </w:tc>
        <w:tc>
          <w:tcPr>
            <w:tcW w:w="537" w:type="dxa"/>
            <w:gridSpan w:val="2"/>
          </w:tcPr>
          <w:p>
            <w:pPr>
              <w:pStyle w:val="TableParagraph"/>
              <w:rPr>
                <w:rFonts w:ascii="Times New Roman"/>
                <w:sz w:val="18"/>
              </w:rPr>
            </w:pPr>
          </w:p>
        </w:tc>
        <w:tc>
          <w:tcPr>
            <w:tcW w:w="522" w:type="dxa"/>
            <w:gridSpan w:val="2"/>
          </w:tcPr>
          <w:p>
            <w:pPr>
              <w:pStyle w:val="TableParagraph"/>
              <w:rPr>
                <w:rFonts w:ascii="Times New Roman"/>
                <w:sz w:val="18"/>
              </w:rPr>
            </w:pPr>
          </w:p>
        </w:tc>
        <w:tc>
          <w:tcPr>
            <w:tcW w:w="1370" w:type="dxa"/>
            <w:gridSpan w:val="4"/>
          </w:tcPr>
          <w:p>
            <w:pPr>
              <w:pStyle w:val="TableParagraph"/>
              <w:rPr>
                <w:rFonts w:ascii="Times New Roman"/>
                <w:sz w:val="18"/>
              </w:rPr>
            </w:pPr>
          </w:p>
        </w:tc>
        <w:tc>
          <w:tcPr>
            <w:tcW w:w="1752" w:type="dxa"/>
            <w:gridSpan w:val="4"/>
          </w:tcPr>
          <w:p>
            <w:pPr>
              <w:pStyle w:val="TableParagraph"/>
              <w:rPr>
                <w:rFonts w:ascii="Times New Roman"/>
                <w:sz w:val="18"/>
              </w:rPr>
            </w:pPr>
          </w:p>
        </w:tc>
      </w:tr>
      <w:tr>
        <w:trPr>
          <w:trHeight w:val="556" w:hRule="atLeast"/>
        </w:trPr>
        <w:tc>
          <w:tcPr>
            <w:tcW w:w="374" w:type="dxa"/>
            <w:vMerge/>
            <w:tcBorders>
              <w:top w:val="nil"/>
            </w:tcBorders>
          </w:tcPr>
          <w:p>
            <w:pPr>
              <w:rPr>
                <w:sz w:val="2"/>
                <w:szCs w:val="2"/>
              </w:rPr>
            </w:pPr>
          </w:p>
        </w:tc>
        <w:tc>
          <w:tcPr>
            <w:tcW w:w="506" w:type="dxa"/>
          </w:tcPr>
          <w:p>
            <w:pPr>
              <w:pStyle w:val="TableParagraph"/>
              <w:rPr>
                <w:rFonts w:ascii="Times New Roman"/>
                <w:sz w:val="18"/>
              </w:rPr>
            </w:pPr>
          </w:p>
        </w:tc>
        <w:tc>
          <w:tcPr>
            <w:tcW w:w="543" w:type="dxa"/>
            <w:gridSpan w:val="2"/>
          </w:tcPr>
          <w:p>
            <w:pPr>
              <w:pStyle w:val="TableParagraph"/>
              <w:rPr>
                <w:rFonts w:ascii="Times New Roman"/>
                <w:sz w:val="18"/>
              </w:rPr>
            </w:pPr>
          </w:p>
        </w:tc>
        <w:tc>
          <w:tcPr>
            <w:tcW w:w="550" w:type="dxa"/>
            <w:gridSpan w:val="2"/>
          </w:tcPr>
          <w:p>
            <w:pPr>
              <w:pStyle w:val="TableParagraph"/>
              <w:rPr>
                <w:rFonts w:ascii="Times New Roman"/>
                <w:sz w:val="18"/>
              </w:rPr>
            </w:pPr>
          </w:p>
        </w:tc>
        <w:tc>
          <w:tcPr>
            <w:tcW w:w="440" w:type="dxa"/>
          </w:tcPr>
          <w:p>
            <w:pPr>
              <w:pStyle w:val="TableParagraph"/>
              <w:rPr>
                <w:rFonts w:ascii="Times New Roman"/>
                <w:sz w:val="18"/>
              </w:rPr>
            </w:pPr>
          </w:p>
        </w:tc>
        <w:tc>
          <w:tcPr>
            <w:tcW w:w="537" w:type="dxa"/>
            <w:gridSpan w:val="2"/>
          </w:tcPr>
          <w:p>
            <w:pPr>
              <w:pStyle w:val="TableParagraph"/>
              <w:rPr>
                <w:rFonts w:ascii="Times New Roman"/>
                <w:sz w:val="18"/>
              </w:rPr>
            </w:pPr>
          </w:p>
        </w:tc>
        <w:tc>
          <w:tcPr>
            <w:tcW w:w="522" w:type="dxa"/>
            <w:gridSpan w:val="2"/>
          </w:tcPr>
          <w:p>
            <w:pPr>
              <w:pStyle w:val="TableParagraph"/>
              <w:rPr>
                <w:rFonts w:ascii="Times New Roman"/>
                <w:sz w:val="18"/>
              </w:rPr>
            </w:pPr>
          </w:p>
        </w:tc>
        <w:tc>
          <w:tcPr>
            <w:tcW w:w="1370" w:type="dxa"/>
            <w:gridSpan w:val="4"/>
          </w:tcPr>
          <w:p>
            <w:pPr>
              <w:pStyle w:val="TableParagraph"/>
              <w:rPr>
                <w:rFonts w:ascii="Times New Roman"/>
                <w:sz w:val="18"/>
              </w:rPr>
            </w:pPr>
          </w:p>
        </w:tc>
        <w:tc>
          <w:tcPr>
            <w:tcW w:w="1752" w:type="dxa"/>
            <w:gridSpan w:val="4"/>
          </w:tcPr>
          <w:p>
            <w:pPr>
              <w:pStyle w:val="TableParagraph"/>
              <w:rPr>
                <w:rFonts w:ascii="Times New Roman"/>
                <w:sz w:val="18"/>
              </w:rPr>
            </w:pPr>
          </w:p>
        </w:tc>
      </w:tr>
    </w:tbl>
    <w:p>
      <w:pPr>
        <w:spacing w:after="0"/>
        <w:rPr>
          <w:rFonts w:ascii="Times New Roman"/>
          <w:sz w:val="18"/>
        </w:rPr>
        <w:sectPr>
          <w:pgSz w:w="8400" w:h="11910"/>
          <w:pgMar w:header="0" w:footer="834" w:top="1060" w:bottom="1020" w:left="720" w:right="720"/>
        </w:sectPr>
      </w:pPr>
    </w:p>
    <w:p>
      <w:pPr>
        <w:pStyle w:val="BodyText"/>
        <w:spacing w:before="11"/>
        <w:ind w:left="0"/>
        <w:rPr>
          <w:rFonts w:ascii="黑体"/>
          <w:sz w:val="26"/>
        </w:rPr>
      </w:pPr>
    </w:p>
    <w:p>
      <w:pPr>
        <w:spacing w:before="58" w:after="4"/>
        <w:ind w:left="2703" w:right="2706" w:firstLine="0"/>
        <w:jc w:val="center"/>
        <w:rPr>
          <w:rFonts w:ascii="黑体" w:eastAsia="黑体" w:hint="eastAsia"/>
          <w:sz w:val="30"/>
        </w:rPr>
      </w:pPr>
      <w:r>
        <w:rPr/>
        <w:pict>
          <v:line style="position:absolute;mso-position-horizontal-relative:page;mso-position-vertical-relative:paragraph;z-index:-262713344" from="40.200001pt,22.819994pt" to="128.300001pt,80.209994pt" stroked="true" strokeweight=".48pt" strokecolor="#000000">
            <v:stroke dashstyle="solid"/>
            <w10:wrap type="none"/>
          </v:line>
        </w:pict>
      </w:r>
      <w:r>
        <w:rPr>
          <w:rFonts w:ascii="黑体" w:eastAsia="黑体" w:hint="eastAsia"/>
          <w:sz w:val="30"/>
        </w:rPr>
        <w:t>微型消防站值班安排及出动情况记录表</w:t>
      </w: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1419"/>
        <w:gridCol w:w="1417"/>
        <w:gridCol w:w="1419"/>
        <w:gridCol w:w="1416"/>
        <w:gridCol w:w="1417"/>
        <w:gridCol w:w="1450"/>
      </w:tblGrid>
      <w:tr>
        <w:trPr>
          <w:trHeight w:val="1147" w:hRule="atLeast"/>
        </w:trPr>
        <w:tc>
          <w:tcPr>
            <w:tcW w:w="1772" w:type="dxa"/>
          </w:tcPr>
          <w:p>
            <w:pPr>
              <w:pStyle w:val="TableParagraph"/>
              <w:spacing w:before="166"/>
              <w:ind w:left="825"/>
              <w:rPr>
                <w:sz w:val="21"/>
              </w:rPr>
            </w:pPr>
            <w:r>
              <w:rPr>
                <w:sz w:val="21"/>
              </w:rPr>
              <w:t>值班人员</w:t>
            </w:r>
          </w:p>
          <w:p>
            <w:pPr>
              <w:pStyle w:val="TableParagraph"/>
              <w:spacing w:before="7"/>
              <w:rPr>
                <w:rFonts w:ascii="黑体"/>
                <w:sz w:val="21"/>
              </w:rPr>
            </w:pPr>
          </w:p>
          <w:p>
            <w:pPr>
              <w:pStyle w:val="TableParagraph"/>
              <w:spacing w:before="1"/>
              <w:ind w:left="110"/>
              <w:rPr>
                <w:sz w:val="21"/>
              </w:rPr>
            </w:pPr>
            <w:r>
              <w:rPr>
                <w:sz w:val="21"/>
              </w:rPr>
              <w:t>值班时间</w:t>
            </w:r>
          </w:p>
        </w:tc>
        <w:tc>
          <w:tcPr>
            <w:tcW w:w="1419" w:type="dxa"/>
          </w:tcPr>
          <w:p>
            <w:pPr>
              <w:pStyle w:val="TableParagraph"/>
              <w:rPr>
                <w:rFonts w:ascii="黑体"/>
                <w:sz w:val="20"/>
              </w:rPr>
            </w:pPr>
          </w:p>
          <w:p>
            <w:pPr>
              <w:pStyle w:val="TableParagraph"/>
              <w:spacing w:before="2"/>
              <w:rPr>
                <w:rFonts w:ascii="黑体"/>
                <w:sz w:val="14"/>
              </w:rPr>
            </w:pPr>
          </w:p>
          <w:p>
            <w:pPr>
              <w:pStyle w:val="TableParagraph"/>
              <w:ind w:left="109"/>
              <w:rPr>
                <w:sz w:val="21"/>
              </w:rPr>
            </w:pPr>
            <w:r>
              <w:rPr>
                <w:sz w:val="21"/>
              </w:rPr>
              <w:t>1 号人员姓名</w:t>
            </w:r>
          </w:p>
        </w:tc>
        <w:tc>
          <w:tcPr>
            <w:tcW w:w="1417" w:type="dxa"/>
          </w:tcPr>
          <w:p>
            <w:pPr>
              <w:pStyle w:val="TableParagraph"/>
              <w:rPr>
                <w:rFonts w:ascii="黑体"/>
                <w:sz w:val="20"/>
              </w:rPr>
            </w:pPr>
          </w:p>
          <w:p>
            <w:pPr>
              <w:pStyle w:val="TableParagraph"/>
              <w:spacing w:before="2"/>
              <w:rPr>
                <w:rFonts w:ascii="黑体"/>
                <w:sz w:val="14"/>
              </w:rPr>
            </w:pPr>
          </w:p>
          <w:p>
            <w:pPr>
              <w:pStyle w:val="TableParagraph"/>
              <w:ind w:left="107"/>
              <w:rPr>
                <w:sz w:val="21"/>
              </w:rPr>
            </w:pPr>
            <w:r>
              <w:rPr>
                <w:sz w:val="21"/>
              </w:rPr>
              <w:t>2 号人员姓名</w:t>
            </w:r>
          </w:p>
        </w:tc>
        <w:tc>
          <w:tcPr>
            <w:tcW w:w="1419" w:type="dxa"/>
          </w:tcPr>
          <w:p>
            <w:pPr>
              <w:pStyle w:val="TableParagraph"/>
              <w:rPr>
                <w:rFonts w:ascii="黑体"/>
                <w:sz w:val="20"/>
              </w:rPr>
            </w:pPr>
          </w:p>
          <w:p>
            <w:pPr>
              <w:pStyle w:val="TableParagraph"/>
              <w:spacing w:before="2"/>
              <w:rPr>
                <w:rFonts w:ascii="黑体"/>
                <w:sz w:val="14"/>
              </w:rPr>
            </w:pPr>
          </w:p>
          <w:p>
            <w:pPr>
              <w:pStyle w:val="TableParagraph"/>
              <w:ind w:left="106"/>
              <w:rPr>
                <w:sz w:val="21"/>
              </w:rPr>
            </w:pPr>
            <w:r>
              <w:rPr>
                <w:sz w:val="21"/>
              </w:rPr>
              <w:t>3 号人员姓名</w:t>
            </w:r>
          </w:p>
        </w:tc>
        <w:tc>
          <w:tcPr>
            <w:tcW w:w="1416" w:type="dxa"/>
          </w:tcPr>
          <w:p>
            <w:pPr>
              <w:pStyle w:val="TableParagraph"/>
              <w:rPr>
                <w:rFonts w:ascii="黑体"/>
                <w:sz w:val="20"/>
              </w:rPr>
            </w:pPr>
          </w:p>
          <w:p>
            <w:pPr>
              <w:pStyle w:val="TableParagraph"/>
              <w:spacing w:before="2"/>
              <w:rPr>
                <w:rFonts w:ascii="黑体"/>
                <w:sz w:val="14"/>
              </w:rPr>
            </w:pPr>
          </w:p>
          <w:p>
            <w:pPr>
              <w:pStyle w:val="TableParagraph"/>
              <w:ind w:left="106"/>
              <w:rPr>
                <w:sz w:val="21"/>
              </w:rPr>
            </w:pPr>
            <w:r>
              <w:rPr>
                <w:sz w:val="21"/>
              </w:rPr>
              <w:t>4 号人员姓名</w:t>
            </w:r>
          </w:p>
        </w:tc>
        <w:tc>
          <w:tcPr>
            <w:tcW w:w="1417" w:type="dxa"/>
          </w:tcPr>
          <w:p>
            <w:pPr>
              <w:pStyle w:val="TableParagraph"/>
              <w:rPr>
                <w:rFonts w:ascii="黑体"/>
                <w:sz w:val="20"/>
              </w:rPr>
            </w:pPr>
          </w:p>
          <w:p>
            <w:pPr>
              <w:pStyle w:val="TableParagraph"/>
              <w:spacing w:before="2"/>
              <w:rPr>
                <w:rFonts w:ascii="黑体"/>
                <w:sz w:val="14"/>
              </w:rPr>
            </w:pPr>
          </w:p>
          <w:p>
            <w:pPr>
              <w:pStyle w:val="TableParagraph"/>
              <w:ind w:left="106"/>
              <w:rPr>
                <w:sz w:val="21"/>
              </w:rPr>
            </w:pPr>
            <w:r>
              <w:rPr>
                <w:sz w:val="21"/>
              </w:rPr>
              <w:t>5 号人员姓名</w:t>
            </w:r>
          </w:p>
        </w:tc>
        <w:tc>
          <w:tcPr>
            <w:tcW w:w="1450" w:type="dxa"/>
          </w:tcPr>
          <w:p>
            <w:pPr>
              <w:pStyle w:val="TableParagraph"/>
              <w:rPr>
                <w:rFonts w:ascii="黑体"/>
                <w:sz w:val="20"/>
              </w:rPr>
            </w:pPr>
          </w:p>
          <w:p>
            <w:pPr>
              <w:pStyle w:val="TableParagraph"/>
              <w:spacing w:before="2"/>
              <w:rPr>
                <w:rFonts w:ascii="黑体"/>
                <w:sz w:val="14"/>
              </w:rPr>
            </w:pPr>
          </w:p>
          <w:p>
            <w:pPr>
              <w:pStyle w:val="TableParagraph"/>
              <w:ind w:left="120"/>
              <w:rPr>
                <w:sz w:val="21"/>
              </w:rPr>
            </w:pPr>
            <w:r>
              <w:rPr>
                <w:sz w:val="21"/>
              </w:rPr>
              <w:t>6 号人员姓名</w:t>
            </w:r>
          </w:p>
        </w:tc>
      </w:tr>
      <w:tr>
        <w:trPr>
          <w:trHeight w:val="933" w:hRule="atLeast"/>
        </w:trPr>
        <w:tc>
          <w:tcPr>
            <w:tcW w:w="1772" w:type="dxa"/>
          </w:tcPr>
          <w:p>
            <w:pPr>
              <w:pStyle w:val="TableParagraph"/>
              <w:tabs>
                <w:tab w:pos="938" w:val="left" w:leader="none"/>
                <w:tab w:pos="1713" w:val="left" w:leader="none"/>
              </w:tabs>
              <w:spacing w:before="195"/>
              <w:ind w:left="412"/>
              <w:rPr>
                <w:rFonts w:ascii="Times New Roman" w:eastAsia="Times New Roman"/>
                <w:sz w:val="21"/>
              </w:rPr>
            </w:pPr>
            <w:r>
              <w:rPr>
                <w:rFonts w:ascii="Times New Roman" w:eastAsia="Times New Roman"/>
                <w:w w:val="100"/>
                <w:sz w:val="21"/>
                <w:u w:val="single"/>
              </w:rPr>
              <w:t> </w:t>
            </w:r>
            <w:r>
              <w:rPr>
                <w:rFonts w:ascii="Times New Roman" w:eastAsia="Times New Roman"/>
                <w:sz w:val="21"/>
                <w:u w:val="single"/>
              </w:rPr>
              <w:tab/>
            </w:r>
            <w:r>
              <w:rPr>
                <w:spacing w:val="-1"/>
                <w:sz w:val="21"/>
              </w:rPr>
              <w:t>时</w:t>
            </w:r>
            <w:r>
              <w:rPr>
                <w:sz w:val="21"/>
              </w:rPr>
              <w:t>至</w:t>
            </w:r>
            <w:r>
              <w:rPr>
                <w:rFonts w:ascii="Times New Roman" w:eastAsia="Times New Roman"/>
                <w:sz w:val="21"/>
                <w:u w:val="single"/>
              </w:rPr>
              <w:t> </w:t>
              <w:tab/>
            </w:r>
          </w:p>
          <w:p>
            <w:pPr>
              <w:pStyle w:val="TableParagraph"/>
              <w:spacing w:before="2"/>
              <w:ind w:left="14"/>
              <w:jc w:val="center"/>
              <w:rPr>
                <w:sz w:val="21"/>
              </w:rPr>
            </w:pPr>
            <w:r>
              <w:rPr>
                <w:w w:val="100"/>
                <w:sz w:val="21"/>
              </w:rPr>
              <w:t>时</w:t>
            </w:r>
          </w:p>
        </w:tc>
        <w:tc>
          <w:tcPr>
            <w:tcW w:w="1419"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6" w:type="dxa"/>
          </w:tcPr>
          <w:p>
            <w:pPr>
              <w:pStyle w:val="TableParagraph"/>
              <w:rPr>
                <w:rFonts w:ascii="Times New Roman"/>
                <w:sz w:val="22"/>
              </w:rPr>
            </w:pPr>
          </w:p>
        </w:tc>
        <w:tc>
          <w:tcPr>
            <w:tcW w:w="1417" w:type="dxa"/>
          </w:tcPr>
          <w:p>
            <w:pPr>
              <w:pStyle w:val="TableParagraph"/>
              <w:rPr>
                <w:rFonts w:ascii="Times New Roman"/>
                <w:sz w:val="22"/>
              </w:rPr>
            </w:pPr>
          </w:p>
        </w:tc>
        <w:tc>
          <w:tcPr>
            <w:tcW w:w="1450" w:type="dxa"/>
          </w:tcPr>
          <w:p>
            <w:pPr>
              <w:pStyle w:val="TableParagraph"/>
              <w:rPr>
                <w:rFonts w:ascii="Times New Roman"/>
                <w:sz w:val="22"/>
              </w:rPr>
            </w:pPr>
          </w:p>
        </w:tc>
      </w:tr>
      <w:tr>
        <w:trPr>
          <w:trHeight w:val="808" w:hRule="atLeast"/>
        </w:trPr>
        <w:tc>
          <w:tcPr>
            <w:tcW w:w="1772" w:type="dxa"/>
          </w:tcPr>
          <w:p>
            <w:pPr>
              <w:pStyle w:val="TableParagraph"/>
              <w:tabs>
                <w:tab w:pos="938" w:val="left" w:leader="none"/>
                <w:tab w:pos="1713" w:val="left" w:leader="none"/>
              </w:tabs>
              <w:spacing w:before="133"/>
              <w:ind w:left="412"/>
              <w:rPr>
                <w:rFonts w:ascii="Times New Roman" w:eastAsia="Times New Roman"/>
                <w:sz w:val="21"/>
              </w:rPr>
            </w:pPr>
            <w:r>
              <w:rPr>
                <w:rFonts w:ascii="Times New Roman" w:eastAsia="Times New Roman"/>
                <w:w w:val="100"/>
                <w:sz w:val="21"/>
                <w:u w:val="single"/>
              </w:rPr>
              <w:t> </w:t>
            </w:r>
            <w:r>
              <w:rPr>
                <w:rFonts w:ascii="Times New Roman" w:eastAsia="Times New Roman"/>
                <w:sz w:val="21"/>
                <w:u w:val="single"/>
              </w:rPr>
              <w:tab/>
            </w:r>
            <w:r>
              <w:rPr>
                <w:spacing w:val="-1"/>
                <w:sz w:val="21"/>
              </w:rPr>
              <w:t>时</w:t>
            </w:r>
            <w:r>
              <w:rPr>
                <w:sz w:val="21"/>
              </w:rPr>
              <w:t>至</w:t>
            </w:r>
            <w:r>
              <w:rPr>
                <w:rFonts w:ascii="Times New Roman" w:eastAsia="Times New Roman"/>
                <w:sz w:val="21"/>
                <w:u w:val="single"/>
              </w:rPr>
              <w:t> </w:t>
              <w:tab/>
            </w:r>
          </w:p>
          <w:p>
            <w:pPr>
              <w:pStyle w:val="TableParagraph"/>
              <w:spacing w:before="5"/>
              <w:ind w:left="14"/>
              <w:jc w:val="center"/>
              <w:rPr>
                <w:sz w:val="21"/>
              </w:rPr>
            </w:pPr>
            <w:r>
              <w:rPr>
                <w:w w:val="100"/>
                <w:sz w:val="21"/>
              </w:rPr>
              <w:t>时</w:t>
            </w:r>
          </w:p>
        </w:tc>
        <w:tc>
          <w:tcPr>
            <w:tcW w:w="1419"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6" w:type="dxa"/>
          </w:tcPr>
          <w:p>
            <w:pPr>
              <w:pStyle w:val="TableParagraph"/>
              <w:rPr>
                <w:rFonts w:ascii="Times New Roman"/>
                <w:sz w:val="22"/>
              </w:rPr>
            </w:pPr>
          </w:p>
        </w:tc>
        <w:tc>
          <w:tcPr>
            <w:tcW w:w="1417" w:type="dxa"/>
          </w:tcPr>
          <w:p>
            <w:pPr>
              <w:pStyle w:val="TableParagraph"/>
              <w:rPr>
                <w:rFonts w:ascii="Times New Roman"/>
                <w:sz w:val="22"/>
              </w:rPr>
            </w:pPr>
          </w:p>
        </w:tc>
        <w:tc>
          <w:tcPr>
            <w:tcW w:w="1450" w:type="dxa"/>
          </w:tcPr>
          <w:p>
            <w:pPr>
              <w:pStyle w:val="TableParagraph"/>
              <w:rPr>
                <w:rFonts w:ascii="Times New Roman"/>
                <w:sz w:val="22"/>
              </w:rPr>
            </w:pPr>
          </w:p>
        </w:tc>
      </w:tr>
      <w:tr>
        <w:trPr>
          <w:trHeight w:val="936" w:hRule="atLeast"/>
        </w:trPr>
        <w:tc>
          <w:tcPr>
            <w:tcW w:w="1772" w:type="dxa"/>
          </w:tcPr>
          <w:p>
            <w:pPr>
              <w:pStyle w:val="TableParagraph"/>
              <w:tabs>
                <w:tab w:pos="938" w:val="left" w:leader="none"/>
                <w:tab w:pos="1713" w:val="left" w:leader="none"/>
              </w:tabs>
              <w:spacing w:before="197"/>
              <w:ind w:left="412"/>
              <w:rPr>
                <w:rFonts w:ascii="Times New Roman" w:eastAsia="Times New Roman"/>
                <w:sz w:val="21"/>
              </w:rPr>
            </w:pPr>
            <w:r>
              <w:rPr>
                <w:rFonts w:ascii="Times New Roman" w:eastAsia="Times New Roman"/>
                <w:w w:val="100"/>
                <w:sz w:val="21"/>
                <w:u w:val="single"/>
              </w:rPr>
              <w:t> </w:t>
            </w:r>
            <w:r>
              <w:rPr>
                <w:rFonts w:ascii="Times New Roman" w:eastAsia="Times New Roman"/>
                <w:sz w:val="21"/>
                <w:u w:val="single"/>
              </w:rPr>
              <w:tab/>
            </w:r>
            <w:r>
              <w:rPr>
                <w:spacing w:val="-1"/>
                <w:sz w:val="21"/>
              </w:rPr>
              <w:t>时</w:t>
            </w:r>
            <w:r>
              <w:rPr>
                <w:sz w:val="21"/>
              </w:rPr>
              <w:t>至</w:t>
            </w:r>
            <w:r>
              <w:rPr>
                <w:rFonts w:ascii="Times New Roman" w:eastAsia="Times New Roman"/>
                <w:sz w:val="21"/>
                <w:u w:val="single"/>
              </w:rPr>
              <w:t> </w:t>
              <w:tab/>
            </w:r>
          </w:p>
          <w:p>
            <w:pPr>
              <w:pStyle w:val="TableParagraph"/>
              <w:spacing w:before="3"/>
              <w:ind w:left="14"/>
              <w:jc w:val="center"/>
              <w:rPr>
                <w:sz w:val="21"/>
              </w:rPr>
            </w:pPr>
            <w:r>
              <w:rPr>
                <w:w w:val="100"/>
                <w:sz w:val="21"/>
              </w:rPr>
              <w:t>时</w:t>
            </w:r>
          </w:p>
        </w:tc>
        <w:tc>
          <w:tcPr>
            <w:tcW w:w="1419"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6" w:type="dxa"/>
          </w:tcPr>
          <w:p>
            <w:pPr>
              <w:pStyle w:val="TableParagraph"/>
              <w:rPr>
                <w:rFonts w:ascii="Times New Roman"/>
                <w:sz w:val="22"/>
              </w:rPr>
            </w:pPr>
          </w:p>
        </w:tc>
        <w:tc>
          <w:tcPr>
            <w:tcW w:w="1417" w:type="dxa"/>
          </w:tcPr>
          <w:p>
            <w:pPr>
              <w:pStyle w:val="TableParagraph"/>
              <w:rPr>
                <w:rFonts w:ascii="Times New Roman"/>
                <w:sz w:val="22"/>
              </w:rPr>
            </w:pPr>
          </w:p>
        </w:tc>
        <w:tc>
          <w:tcPr>
            <w:tcW w:w="1450" w:type="dxa"/>
          </w:tcPr>
          <w:p>
            <w:pPr>
              <w:pStyle w:val="TableParagraph"/>
              <w:rPr>
                <w:rFonts w:ascii="Times New Roman"/>
                <w:sz w:val="22"/>
              </w:rPr>
            </w:pPr>
          </w:p>
        </w:tc>
      </w:tr>
      <w:tr>
        <w:trPr>
          <w:trHeight w:val="556" w:hRule="atLeast"/>
        </w:trPr>
        <w:tc>
          <w:tcPr>
            <w:tcW w:w="1772" w:type="dxa"/>
          </w:tcPr>
          <w:p>
            <w:pPr>
              <w:pStyle w:val="TableParagraph"/>
              <w:spacing w:before="142"/>
              <w:ind w:left="132" w:right="119"/>
              <w:jc w:val="center"/>
              <w:rPr>
                <w:sz w:val="21"/>
              </w:rPr>
            </w:pPr>
            <w:r>
              <w:rPr>
                <w:sz w:val="21"/>
              </w:rPr>
              <w:t>持证或培训情况</w:t>
            </w:r>
          </w:p>
        </w:tc>
        <w:tc>
          <w:tcPr>
            <w:tcW w:w="8538" w:type="dxa"/>
            <w:gridSpan w:val="6"/>
          </w:tcPr>
          <w:p>
            <w:pPr>
              <w:pStyle w:val="TableParagraph"/>
              <w:rPr>
                <w:rFonts w:ascii="Times New Roman"/>
                <w:sz w:val="22"/>
              </w:rPr>
            </w:pPr>
          </w:p>
        </w:tc>
      </w:tr>
      <w:tr>
        <w:trPr>
          <w:trHeight w:val="733" w:hRule="atLeast"/>
        </w:trPr>
        <w:tc>
          <w:tcPr>
            <w:tcW w:w="1772" w:type="dxa"/>
          </w:tcPr>
          <w:p>
            <w:pPr>
              <w:pStyle w:val="TableParagraph"/>
              <w:spacing w:before="3"/>
              <w:rPr>
                <w:rFonts w:ascii="黑体"/>
                <w:sz w:val="18"/>
              </w:rPr>
            </w:pPr>
          </w:p>
          <w:p>
            <w:pPr>
              <w:pStyle w:val="TableParagraph"/>
              <w:ind w:left="132" w:right="119"/>
              <w:jc w:val="center"/>
              <w:rPr>
                <w:sz w:val="21"/>
              </w:rPr>
            </w:pPr>
            <w:r>
              <w:rPr>
                <w:sz w:val="21"/>
              </w:rPr>
              <w:t>出动或演练情况</w:t>
            </w:r>
          </w:p>
        </w:tc>
        <w:tc>
          <w:tcPr>
            <w:tcW w:w="8538" w:type="dxa"/>
            <w:gridSpan w:val="6"/>
          </w:tcPr>
          <w:p>
            <w:pPr>
              <w:pStyle w:val="TableParagraph"/>
              <w:rPr>
                <w:rFonts w:ascii="Times New Roman"/>
                <w:sz w:val="22"/>
              </w:rPr>
            </w:pPr>
          </w:p>
        </w:tc>
      </w:tr>
    </w:tbl>
    <w:p>
      <w:pPr>
        <w:pStyle w:val="BodyText"/>
        <w:tabs>
          <w:tab w:pos="9855" w:val="left" w:leader="none"/>
        </w:tabs>
        <w:spacing w:before="120"/>
        <w:ind w:left="4639"/>
        <w:rPr>
          <w:rFonts w:ascii="Times New Roman" w:eastAsia="Times New Roman"/>
        </w:rPr>
      </w:pPr>
      <w:r>
        <w:rPr/>
        <w:t>消防安全责任人或管理人(签名)：</w:t>
      </w:r>
      <w:r>
        <w:rPr>
          <w:rFonts w:ascii="Times New Roman" w:eastAsia="Times New Roman"/>
          <w:u w:val="single"/>
        </w:rPr>
        <w:t> </w:t>
        <w:tab/>
      </w:r>
    </w:p>
    <w:p>
      <w:pPr>
        <w:spacing w:after="0"/>
        <w:rPr>
          <w:rFonts w:ascii="Times New Roman" w:eastAsia="Times New Roman"/>
        </w:rPr>
        <w:sectPr>
          <w:footerReference w:type="default" r:id="rId32"/>
          <w:footerReference w:type="even" r:id="rId33"/>
          <w:pgSz w:w="11910" w:h="8400" w:orient="landscape"/>
          <w:pgMar w:footer="836" w:header="0" w:top="740" w:bottom="1020" w:left="680" w:right="680"/>
        </w:sectPr>
      </w:pPr>
    </w:p>
    <w:p>
      <w:pPr>
        <w:pStyle w:val="BodyText"/>
        <w:spacing w:before="10"/>
        <w:ind w:left="0"/>
        <w:rPr>
          <w:rFonts w:ascii="Times New Roman"/>
          <w:sz w:val="29"/>
        </w:rPr>
      </w:pPr>
    </w:p>
    <w:p>
      <w:pPr>
        <w:pStyle w:val="Heading1"/>
        <w:spacing w:after="5"/>
        <w:ind w:left="2703" w:right="2706"/>
      </w:pPr>
      <w:r>
        <w:rPr/>
        <w:t>建筑消防设施故障处理记录表</w:t>
      </w:r>
    </w:p>
    <w:tbl>
      <w:tblPr>
        <w:tblW w:w="0" w:type="auto"/>
        <w:jc w:val="left"/>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919"/>
        <w:gridCol w:w="1796"/>
        <w:gridCol w:w="1383"/>
        <w:gridCol w:w="1242"/>
        <w:gridCol w:w="2265"/>
        <w:gridCol w:w="1504"/>
      </w:tblGrid>
      <w:tr>
        <w:trPr>
          <w:trHeight w:val="818" w:hRule="atLeast"/>
        </w:trPr>
        <w:tc>
          <w:tcPr>
            <w:tcW w:w="848" w:type="dxa"/>
          </w:tcPr>
          <w:p>
            <w:pPr>
              <w:pStyle w:val="TableParagraph"/>
              <w:rPr>
                <w:rFonts w:ascii="黑体"/>
                <w:sz w:val="14"/>
              </w:rPr>
            </w:pPr>
          </w:p>
          <w:p>
            <w:pPr>
              <w:pStyle w:val="TableParagraph"/>
              <w:spacing w:line="261" w:lineRule="auto"/>
              <w:ind w:left="256" w:right="219"/>
              <w:rPr>
                <w:rFonts w:ascii="仿宋" w:eastAsia="仿宋" w:hint="eastAsia"/>
                <w:sz w:val="18"/>
              </w:rPr>
            </w:pPr>
            <w:r>
              <w:rPr>
                <w:rFonts w:ascii="仿宋" w:eastAsia="仿宋" w:hint="eastAsia"/>
                <w:sz w:val="18"/>
              </w:rPr>
              <w:t>检查时间</w:t>
            </w:r>
          </w:p>
        </w:tc>
        <w:tc>
          <w:tcPr>
            <w:tcW w:w="919" w:type="dxa"/>
          </w:tcPr>
          <w:p>
            <w:pPr>
              <w:pStyle w:val="TableParagraph"/>
              <w:rPr>
                <w:rFonts w:ascii="黑体"/>
                <w:sz w:val="14"/>
              </w:rPr>
            </w:pPr>
          </w:p>
          <w:p>
            <w:pPr>
              <w:pStyle w:val="TableParagraph"/>
              <w:spacing w:line="261" w:lineRule="auto"/>
              <w:ind w:left="200" w:right="167"/>
              <w:rPr>
                <w:rFonts w:ascii="仿宋" w:eastAsia="仿宋" w:hint="eastAsia"/>
                <w:sz w:val="18"/>
              </w:rPr>
            </w:pPr>
            <w:r>
              <w:rPr>
                <w:rFonts w:ascii="仿宋" w:eastAsia="仿宋" w:hint="eastAsia"/>
                <w:sz w:val="18"/>
              </w:rPr>
              <w:t>检查人姓 名</w:t>
            </w:r>
          </w:p>
        </w:tc>
        <w:tc>
          <w:tcPr>
            <w:tcW w:w="1796" w:type="dxa"/>
          </w:tcPr>
          <w:p>
            <w:pPr>
              <w:pStyle w:val="TableParagraph"/>
              <w:rPr>
                <w:rFonts w:ascii="黑体"/>
                <w:sz w:val="14"/>
              </w:rPr>
            </w:pPr>
          </w:p>
          <w:p>
            <w:pPr>
              <w:pStyle w:val="TableParagraph"/>
              <w:spacing w:line="261" w:lineRule="auto"/>
              <w:ind w:left="458" w:right="427" w:firstLine="91"/>
              <w:rPr>
                <w:rFonts w:ascii="仿宋" w:eastAsia="仿宋" w:hint="eastAsia"/>
                <w:sz w:val="18"/>
              </w:rPr>
            </w:pPr>
            <w:r>
              <w:rPr>
                <w:rFonts w:ascii="仿宋" w:eastAsia="仿宋" w:hint="eastAsia"/>
                <w:sz w:val="18"/>
              </w:rPr>
              <w:t>检查发现问题或故障</w:t>
            </w:r>
          </w:p>
        </w:tc>
        <w:tc>
          <w:tcPr>
            <w:tcW w:w="1383" w:type="dxa"/>
          </w:tcPr>
          <w:p>
            <w:pPr>
              <w:pStyle w:val="TableParagraph"/>
              <w:spacing w:line="259" w:lineRule="auto" w:before="55"/>
              <w:ind w:left="253" w:right="217" w:hanging="3"/>
              <w:jc w:val="center"/>
              <w:rPr>
                <w:rFonts w:ascii="仿宋" w:eastAsia="仿宋" w:hint="eastAsia"/>
                <w:sz w:val="18"/>
              </w:rPr>
            </w:pPr>
            <w:r>
              <w:rPr>
                <w:rFonts w:ascii="仿宋" w:eastAsia="仿宋" w:hint="eastAsia"/>
                <w:sz w:val="18"/>
              </w:rPr>
              <w:t>消防安全 </w:t>
            </w:r>
            <w:r>
              <w:rPr>
                <w:rFonts w:ascii="仿宋" w:eastAsia="仿宋" w:hint="eastAsia"/>
                <w:spacing w:val="-4"/>
                <w:sz w:val="18"/>
              </w:rPr>
              <w:t>管理人处理</w:t>
            </w:r>
          </w:p>
          <w:p>
            <w:pPr>
              <w:pStyle w:val="TableParagraph"/>
              <w:spacing w:before="4"/>
              <w:ind w:left="303" w:right="271"/>
              <w:jc w:val="center"/>
              <w:rPr>
                <w:rFonts w:ascii="仿宋" w:eastAsia="仿宋" w:hint="eastAsia"/>
                <w:sz w:val="18"/>
              </w:rPr>
            </w:pPr>
            <w:r>
              <w:rPr>
                <w:rFonts w:ascii="仿宋" w:eastAsia="仿宋" w:hint="eastAsia"/>
                <w:sz w:val="18"/>
              </w:rPr>
              <w:t>意见</w:t>
            </w:r>
          </w:p>
        </w:tc>
        <w:tc>
          <w:tcPr>
            <w:tcW w:w="1242" w:type="dxa"/>
          </w:tcPr>
          <w:p>
            <w:pPr>
              <w:pStyle w:val="TableParagraph"/>
              <w:spacing w:line="259" w:lineRule="auto" w:before="55"/>
              <w:ind w:left="270" w:right="241"/>
              <w:rPr>
                <w:rFonts w:ascii="仿宋" w:eastAsia="仿宋" w:hint="eastAsia"/>
                <w:sz w:val="18"/>
              </w:rPr>
            </w:pPr>
            <w:r>
              <w:rPr>
                <w:rFonts w:ascii="仿宋" w:eastAsia="仿宋" w:hint="eastAsia"/>
                <w:sz w:val="18"/>
              </w:rPr>
              <w:t>停用系统消防安全</w:t>
            </w:r>
          </w:p>
          <w:p>
            <w:pPr>
              <w:pStyle w:val="TableParagraph"/>
              <w:spacing w:before="4"/>
              <w:ind w:left="181"/>
              <w:rPr>
                <w:rFonts w:ascii="仿宋" w:eastAsia="仿宋" w:hint="eastAsia"/>
                <w:sz w:val="18"/>
              </w:rPr>
            </w:pPr>
            <w:r>
              <w:rPr>
                <w:rFonts w:ascii="仿宋" w:eastAsia="仿宋" w:hint="eastAsia"/>
                <w:sz w:val="18"/>
              </w:rPr>
              <w:t>责任人签名</w:t>
            </w:r>
          </w:p>
        </w:tc>
        <w:tc>
          <w:tcPr>
            <w:tcW w:w="2265" w:type="dxa"/>
          </w:tcPr>
          <w:p>
            <w:pPr>
              <w:pStyle w:val="TableParagraph"/>
              <w:spacing w:before="9"/>
              <w:rPr>
                <w:rFonts w:ascii="黑体"/>
                <w:sz w:val="23"/>
              </w:rPr>
            </w:pPr>
          </w:p>
          <w:p>
            <w:pPr>
              <w:pStyle w:val="TableParagraph"/>
              <w:spacing w:before="1"/>
              <w:ind w:left="333"/>
              <w:rPr>
                <w:rFonts w:ascii="仿宋" w:eastAsia="仿宋" w:hint="eastAsia"/>
                <w:sz w:val="18"/>
              </w:rPr>
            </w:pPr>
            <w:r>
              <w:rPr>
                <w:rFonts w:ascii="仿宋" w:eastAsia="仿宋" w:hint="eastAsia"/>
                <w:sz w:val="18"/>
              </w:rPr>
              <w:t>问题或故障处理结果</w:t>
            </w:r>
          </w:p>
        </w:tc>
        <w:tc>
          <w:tcPr>
            <w:tcW w:w="1504" w:type="dxa"/>
          </w:tcPr>
          <w:p>
            <w:pPr>
              <w:pStyle w:val="TableParagraph"/>
              <w:spacing w:line="259" w:lineRule="auto" w:before="55"/>
              <w:ind w:left="217" w:right="194" w:firstLine="91"/>
              <w:rPr>
                <w:rFonts w:ascii="仿宋" w:eastAsia="仿宋" w:hint="eastAsia"/>
                <w:sz w:val="18"/>
              </w:rPr>
            </w:pPr>
            <w:r>
              <w:rPr>
                <w:rFonts w:ascii="仿宋" w:eastAsia="仿宋" w:hint="eastAsia"/>
                <w:sz w:val="18"/>
              </w:rPr>
              <w:t>问题或故障</w:t>
            </w:r>
            <w:r>
              <w:rPr>
                <w:rFonts w:ascii="仿宋" w:eastAsia="仿宋" w:hint="eastAsia"/>
                <w:spacing w:val="-3"/>
                <w:sz w:val="18"/>
              </w:rPr>
              <w:t>排除消防安全</w:t>
            </w:r>
          </w:p>
          <w:p>
            <w:pPr>
              <w:pStyle w:val="TableParagraph"/>
              <w:spacing w:before="4"/>
              <w:ind w:left="308"/>
              <w:rPr>
                <w:rFonts w:ascii="仿宋" w:eastAsia="仿宋" w:hint="eastAsia"/>
                <w:sz w:val="18"/>
              </w:rPr>
            </w:pPr>
            <w:r>
              <w:rPr>
                <w:rFonts w:ascii="仿宋" w:eastAsia="仿宋" w:hint="eastAsia"/>
                <w:sz w:val="18"/>
              </w:rPr>
              <w:t>管理人签名</w:t>
            </w:r>
          </w:p>
        </w:tc>
      </w:tr>
      <w:tr>
        <w:trPr>
          <w:trHeight w:val="518"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7"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8"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7"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7"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8"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8"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7"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r>
        <w:trPr>
          <w:trHeight w:val="518" w:hRule="atLeast"/>
        </w:trPr>
        <w:tc>
          <w:tcPr>
            <w:tcW w:w="848" w:type="dxa"/>
          </w:tcPr>
          <w:p>
            <w:pPr>
              <w:pStyle w:val="TableParagraph"/>
              <w:rPr>
                <w:rFonts w:ascii="Times New Roman"/>
                <w:sz w:val="18"/>
              </w:rPr>
            </w:pPr>
          </w:p>
        </w:tc>
        <w:tc>
          <w:tcPr>
            <w:tcW w:w="919" w:type="dxa"/>
          </w:tcPr>
          <w:p>
            <w:pPr>
              <w:pStyle w:val="TableParagraph"/>
              <w:rPr>
                <w:rFonts w:ascii="Times New Roman"/>
                <w:sz w:val="18"/>
              </w:rPr>
            </w:pPr>
          </w:p>
        </w:tc>
        <w:tc>
          <w:tcPr>
            <w:tcW w:w="1796" w:type="dxa"/>
          </w:tcPr>
          <w:p>
            <w:pPr>
              <w:pStyle w:val="TableParagraph"/>
              <w:rPr>
                <w:rFonts w:ascii="Times New Roman"/>
                <w:sz w:val="18"/>
              </w:rPr>
            </w:pPr>
          </w:p>
        </w:tc>
        <w:tc>
          <w:tcPr>
            <w:tcW w:w="1383" w:type="dxa"/>
          </w:tcPr>
          <w:p>
            <w:pPr>
              <w:pStyle w:val="TableParagraph"/>
              <w:rPr>
                <w:rFonts w:ascii="Times New Roman"/>
                <w:sz w:val="18"/>
              </w:rPr>
            </w:pPr>
          </w:p>
        </w:tc>
        <w:tc>
          <w:tcPr>
            <w:tcW w:w="1242" w:type="dxa"/>
          </w:tcPr>
          <w:p>
            <w:pPr>
              <w:pStyle w:val="TableParagraph"/>
              <w:rPr>
                <w:rFonts w:ascii="Times New Roman"/>
                <w:sz w:val="18"/>
              </w:rPr>
            </w:pPr>
          </w:p>
        </w:tc>
        <w:tc>
          <w:tcPr>
            <w:tcW w:w="2265" w:type="dxa"/>
          </w:tcPr>
          <w:p>
            <w:pPr>
              <w:pStyle w:val="TableParagraph"/>
              <w:rPr>
                <w:rFonts w:ascii="Times New Roman"/>
                <w:sz w:val="18"/>
              </w:rPr>
            </w:pPr>
          </w:p>
        </w:tc>
        <w:tc>
          <w:tcPr>
            <w:tcW w:w="1504" w:type="dxa"/>
          </w:tcPr>
          <w:p>
            <w:pPr>
              <w:pStyle w:val="TableParagraph"/>
              <w:rPr>
                <w:rFonts w:ascii="Times New Roman"/>
                <w:sz w:val="18"/>
              </w:rPr>
            </w:pPr>
          </w:p>
        </w:tc>
      </w:tr>
    </w:tbl>
    <w:p>
      <w:pPr>
        <w:spacing w:after="0"/>
        <w:rPr>
          <w:rFonts w:ascii="Times New Roman"/>
          <w:sz w:val="18"/>
        </w:rPr>
        <w:sectPr>
          <w:pgSz w:w="11910" w:h="8400" w:orient="landscape"/>
          <w:pgMar w:header="0" w:footer="836" w:top="740" w:bottom="1020" w:left="680" w:right="680"/>
        </w:sectPr>
      </w:pPr>
    </w:p>
    <w:p>
      <w:pPr>
        <w:pStyle w:val="Heading2"/>
        <w:spacing w:before="104"/>
        <w:ind w:left="200"/>
        <w:jc w:val="left"/>
      </w:pPr>
      <w:bookmarkStart w:name="_bookmark26" w:id="27"/>
      <w:bookmarkEnd w:id="27"/>
      <w:r>
        <w:rPr>
          <w:b w:val="0"/>
        </w:rPr>
      </w:r>
      <w:r>
        <w:rPr/>
        <w:t>附件四：消防安全管理工作时间节点对照表</w:t>
      </w:r>
    </w:p>
    <w:p>
      <w:pPr>
        <w:spacing w:before="125"/>
        <w:ind w:left="0" w:right="41" w:firstLine="0"/>
        <w:jc w:val="center"/>
        <w:rPr>
          <w:rFonts w:ascii="黑体" w:eastAsia="黑体" w:hint="eastAsia"/>
          <w:sz w:val="30"/>
        </w:rPr>
      </w:pPr>
      <w:r>
        <w:rPr>
          <w:rFonts w:ascii="黑体" w:eastAsia="黑体" w:hint="eastAsia"/>
          <w:sz w:val="30"/>
        </w:rPr>
        <w:t>消防安全管理工作时间节点对照表</w:t>
      </w:r>
    </w:p>
    <w:p>
      <w:pPr>
        <w:pStyle w:val="BodyText"/>
        <w:spacing w:before="9"/>
        <w:ind w:left="0"/>
        <w:rPr>
          <w:rFonts w:ascii="黑体"/>
          <w:sz w:val="9"/>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5522"/>
      </w:tblGrid>
      <w:tr>
        <w:trPr>
          <w:trHeight w:val="438" w:hRule="atLeast"/>
        </w:trPr>
        <w:tc>
          <w:tcPr>
            <w:tcW w:w="1001" w:type="dxa"/>
          </w:tcPr>
          <w:p>
            <w:pPr>
              <w:pStyle w:val="TableParagraph"/>
              <w:spacing w:before="103"/>
              <w:ind w:left="121" w:right="110"/>
              <w:jc w:val="center"/>
              <w:rPr>
                <w:sz w:val="18"/>
              </w:rPr>
            </w:pPr>
            <w:r>
              <w:rPr>
                <w:sz w:val="18"/>
              </w:rPr>
              <w:t>时间节点</w:t>
            </w:r>
          </w:p>
        </w:tc>
        <w:tc>
          <w:tcPr>
            <w:tcW w:w="5522" w:type="dxa"/>
          </w:tcPr>
          <w:p>
            <w:pPr>
              <w:pStyle w:val="TableParagraph"/>
              <w:spacing w:before="103"/>
              <w:ind w:left="2382" w:right="2369"/>
              <w:jc w:val="center"/>
              <w:rPr>
                <w:sz w:val="18"/>
              </w:rPr>
            </w:pPr>
            <w:r>
              <w:rPr>
                <w:sz w:val="18"/>
              </w:rPr>
              <w:t>工作内容</w:t>
            </w:r>
          </w:p>
        </w:tc>
      </w:tr>
      <w:tr>
        <w:trPr>
          <w:trHeight w:val="837" w:hRule="atLeast"/>
        </w:trPr>
        <w:tc>
          <w:tcPr>
            <w:tcW w:w="1001" w:type="dxa"/>
          </w:tcPr>
          <w:p>
            <w:pPr>
              <w:pStyle w:val="TableParagraph"/>
              <w:spacing w:before="5"/>
              <w:rPr>
                <w:rFonts w:ascii="黑体"/>
                <w:sz w:val="14"/>
              </w:rPr>
            </w:pPr>
          </w:p>
          <w:p>
            <w:pPr>
              <w:pStyle w:val="TableParagraph"/>
              <w:spacing w:line="242" w:lineRule="auto"/>
              <w:ind w:left="52" w:right="36" w:firstLine="88"/>
              <w:rPr>
                <w:sz w:val="18"/>
              </w:rPr>
            </w:pPr>
            <w:r>
              <w:rPr>
                <w:sz w:val="18"/>
              </w:rPr>
              <w:t>结合实际及时要完成</w:t>
            </w:r>
          </w:p>
        </w:tc>
        <w:tc>
          <w:tcPr>
            <w:tcW w:w="5522" w:type="dxa"/>
          </w:tcPr>
          <w:p>
            <w:pPr>
              <w:pStyle w:val="TableParagraph"/>
              <w:spacing w:before="69"/>
              <w:ind w:left="11"/>
              <w:rPr>
                <w:sz w:val="18"/>
              </w:rPr>
            </w:pPr>
            <w:r>
              <w:rPr>
                <w:sz w:val="18"/>
              </w:rPr>
              <w:t>1、应对新上岗员工或有关从业人员进行上岗前的消防培训；</w:t>
            </w:r>
          </w:p>
          <w:p>
            <w:pPr>
              <w:pStyle w:val="TableParagraph"/>
              <w:spacing w:line="242" w:lineRule="auto" w:before="2"/>
              <w:ind w:left="11"/>
              <w:rPr>
                <w:sz w:val="18"/>
              </w:rPr>
            </w:pPr>
            <w:r>
              <w:rPr>
                <w:sz w:val="18"/>
              </w:rPr>
              <w:t>2、当单位基本信息、建筑管理、消防安全管理人员变更时，需在消防档案和“户籍化系统”中及时 进行日常维护。</w:t>
            </w:r>
          </w:p>
        </w:tc>
      </w:tr>
      <w:tr>
        <w:trPr>
          <w:trHeight w:val="1135" w:hRule="atLeast"/>
        </w:trPr>
        <w:tc>
          <w:tcPr>
            <w:tcW w:w="1001" w:type="dxa"/>
          </w:tcPr>
          <w:p>
            <w:pPr>
              <w:pStyle w:val="TableParagraph"/>
              <w:rPr>
                <w:rFonts w:ascii="黑体"/>
                <w:sz w:val="18"/>
              </w:rPr>
            </w:pPr>
          </w:p>
          <w:p>
            <w:pPr>
              <w:pStyle w:val="TableParagraph"/>
              <w:spacing w:before="3"/>
              <w:rPr>
                <w:rFonts w:ascii="黑体"/>
                <w:sz w:val="17"/>
              </w:rPr>
            </w:pPr>
          </w:p>
          <w:p>
            <w:pPr>
              <w:pStyle w:val="TableParagraph"/>
              <w:ind w:left="121" w:right="110"/>
              <w:jc w:val="center"/>
              <w:rPr>
                <w:sz w:val="18"/>
              </w:rPr>
            </w:pPr>
            <w:r>
              <w:rPr>
                <w:sz w:val="18"/>
              </w:rPr>
              <w:t>每两小时</w:t>
            </w:r>
          </w:p>
        </w:tc>
        <w:tc>
          <w:tcPr>
            <w:tcW w:w="5522" w:type="dxa"/>
          </w:tcPr>
          <w:p>
            <w:pPr>
              <w:pStyle w:val="TableParagraph"/>
              <w:spacing w:line="244" w:lineRule="auto" w:before="100"/>
              <w:ind w:left="11"/>
              <w:jc w:val="both"/>
              <w:rPr>
                <w:sz w:val="18"/>
              </w:rPr>
            </w:pPr>
            <w:r>
              <w:rPr>
                <w:sz w:val="18"/>
              </w:rPr>
              <w:t>1、公众聚集场所以及火灾高危单位在营业和生产期间的防火巡查应当至少每两小时一次，公众聚集场所营业结束时应当对营业场所进行检查，消除遗 留火种；</w:t>
            </w:r>
          </w:p>
          <w:p>
            <w:pPr>
              <w:pStyle w:val="TableParagraph"/>
              <w:spacing w:line="226" w:lineRule="exact"/>
              <w:ind w:left="11"/>
              <w:rPr>
                <w:sz w:val="18"/>
              </w:rPr>
            </w:pPr>
            <w:r>
              <w:rPr>
                <w:sz w:val="18"/>
              </w:rPr>
              <w:t>2、填写防火巡查记录表。</w:t>
            </w:r>
          </w:p>
        </w:tc>
      </w:tr>
      <w:tr>
        <w:trPr>
          <w:trHeight w:val="1281" w:hRule="atLeast"/>
        </w:trPr>
        <w:tc>
          <w:tcPr>
            <w:tcW w:w="1001" w:type="dxa"/>
          </w:tcPr>
          <w:p>
            <w:pPr>
              <w:pStyle w:val="TableParagraph"/>
              <w:rPr>
                <w:rFonts w:ascii="黑体"/>
                <w:sz w:val="18"/>
              </w:rPr>
            </w:pPr>
          </w:p>
          <w:p>
            <w:pPr>
              <w:pStyle w:val="TableParagraph"/>
              <w:spacing w:before="10"/>
              <w:rPr>
                <w:rFonts w:ascii="黑体"/>
                <w:sz w:val="22"/>
              </w:rPr>
            </w:pPr>
          </w:p>
          <w:p>
            <w:pPr>
              <w:pStyle w:val="TableParagraph"/>
              <w:ind w:left="121" w:right="110"/>
              <w:jc w:val="center"/>
              <w:rPr>
                <w:sz w:val="18"/>
              </w:rPr>
            </w:pPr>
            <w:r>
              <w:rPr>
                <w:sz w:val="18"/>
              </w:rPr>
              <w:t>每日</w:t>
            </w:r>
          </w:p>
        </w:tc>
        <w:tc>
          <w:tcPr>
            <w:tcW w:w="5522" w:type="dxa"/>
          </w:tcPr>
          <w:p>
            <w:pPr>
              <w:pStyle w:val="TableParagraph"/>
              <w:spacing w:line="242" w:lineRule="auto" w:before="57"/>
              <w:ind w:left="11" w:right="-15"/>
              <w:rPr>
                <w:sz w:val="18"/>
              </w:rPr>
            </w:pPr>
            <w:r>
              <w:rPr>
                <w:sz w:val="18"/>
              </w:rPr>
              <w:t>1、除公众聚集场所以及火灾高危单位的其他单位实行每日防火巡査， 并结合实际组织夜间防火巡査；</w:t>
            </w:r>
          </w:p>
          <w:p>
            <w:pPr>
              <w:pStyle w:val="TableParagraph"/>
              <w:spacing w:line="230" w:lineRule="exact"/>
              <w:ind w:left="11"/>
              <w:rPr>
                <w:sz w:val="18"/>
              </w:rPr>
            </w:pPr>
            <w:r>
              <w:rPr>
                <w:sz w:val="18"/>
              </w:rPr>
              <w:t>2、填写防火巡查记录表；</w:t>
            </w:r>
          </w:p>
          <w:p>
            <w:pPr>
              <w:pStyle w:val="TableParagraph"/>
              <w:spacing w:before="5"/>
              <w:ind w:left="11"/>
              <w:rPr>
                <w:sz w:val="18"/>
              </w:rPr>
            </w:pPr>
            <w:r>
              <w:rPr>
                <w:sz w:val="18"/>
              </w:rPr>
              <w:t>3、填写消防控制室值班记录；</w:t>
            </w:r>
          </w:p>
          <w:p>
            <w:pPr>
              <w:pStyle w:val="TableParagraph"/>
              <w:spacing w:before="2"/>
              <w:ind w:left="11"/>
              <w:rPr>
                <w:sz w:val="18"/>
              </w:rPr>
            </w:pPr>
            <w:r>
              <w:rPr>
                <w:sz w:val="18"/>
              </w:rPr>
              <w:t>4、在“户籍化系统”中录入防火巡查和消防控制室值班记录。</w:t>
            </w:r>
          </w:p>
        </w:tc>
      </w:tr>
      <w:tr>
        <w:trPr>
          <w:trHeight w:val="1413" w:hRule="atLeast"/>
        </w:trPr>
        <w:tc>
          <w:tcPr>
            <w:tcW w:w="1001" w:type="dxa"/>
          </w:tcPr>
          <w:p>
            <w:pPr>
              <w:pStyle w:val="TableParagraph"/>
              <w:rPr>
                <w:rFonts w:ascii="黑体"/>
                <w:sz w:val="18"/>
              </w:rPr>
            </w:pPr>
          </w:p>
          <w:p>
            <w:pPr>
              <w:pStyle w:val="TableParagraph"/>
              <w:rPr>
                <w:rFonts w:ascii="黑体"/>
                <w:sz w:val="18"/>
              </w:rPr>
            </w:pPr>
          </w:p>
          <w:p>
            <w:pPr>
              <w:pStyle w:val="TableParagraph"/>
              <w:spacing w:before="129"/>
              <w:ind w:left="121" w:right="110"/>
              <w:jc w:val="center"/>
              <w:rPr>
                <w:sz w:val="18"/>
              </w:rPr>
            </w:pPr>
            <w:r>
              <w:rPr>
                <w:sz w:val="18"/>
              </w:rPr>
              <w:t>每月</w:t>
            </w:r>
          </w:p>
        </w:tc>
        <w:tc>
          <w:tcPr>
            <w:tcW w:w="5522" w:type="dxa"/>
          </w:tcPr>
          <w:p>
            <w:pPr>
              <w:pStyle w:val="TableParagraph"/>
              <w:spacing w:before="122"/>
              <w:ind w:left="11"/>
              <w:rPr>
                <w:sz w:val="18"/>
              </w:rPr>
            </w:pPr>
            <w:r>
              <w:rPr>
                <w:sz w:val="18"/>
              </w:rPr>
              <w:t>1、开展一次全面的防火检查，填写防火检查记录表；</w:t>
            </w:r>
          </w:p>
          <w:p>
            <w:pPr>
              <w:pStyle w:val="TableParagraph"/>
              <w:spacing w:before="4"/>
              <w:ind w:left="11"/>
              <w:rPr>
                <w:sz w:val="18"/>
              </w:rPr>
            </w:pPr>
            <w:r>
              <w:rPr>
                <w:sz w:val="18"/>
              </w:rPr>
              <w:t>2、每月维护保养消防设施，填写建筑消防设施单项检查记录表；</w:t>
            </w:r>
          </w:p>
          <w:p>
            <w:pPr>
              <w:pStyle w:val="TableParagraph"/>
              <w:spacing w:line="242" w:lineRule="auto" w:before="3"/>
              <w:ind w:left="11" w:right="-15"/>
              <w:jc w:val="both"/>
              <w:rPr>
                <w:sz w:val="18"/>
              </w:rPr>
            </w:pPr>
            <w:r>
              <w:rPr>
                <w:sz w:val="18"/>
              </w:rPr>
              <w:t>3</w:t>
            </w:r>
            <w:r>
              <w:rPr>
                <w:spacing w:val="-10"/>
                <w:sz w:val="18"/>
              </w:rPr>
              <w:t>、每月 </w:t>
            </w:r>
            <w:r>
              <w:rPr>
                <w:sz w:val="18"/>
              </w:rPr>
              <w:t>6</w:t>
            </w:r>
            <w:r>
              <w:rPr>
                <w:spacing w:val="-7"/>
                <w:sz w:val="18"/>
              </w:rPr>
              <w:t> 日前要在“户籍化系统”中录入上月设施维保、自我评估、</w:t>
            </w:r>
            <w:r>
              <w:rPr>
                <w:sz w:val="18"/>
              </w:rPr>
              <w:t>消防安全管理人员备案(原消防 安全责任人和消防安全管理人未改变的可不用备案，改变时再重新备案)和防火检查记录。</w:t>
            </w:r>
          </w:p>
        </w:tc>
      </w:tr>
      <w:tr>
        <w:trPr>
          <w:trHeight w:val="755" w:hRule="atLeast"/>
        </w:trPr>
        <w:tc>
          <w:tcPr>
            <w:tcW w:w="1001" w:type="dxa"/>
          </w:tcPr>
          <w:p>
            <w:pPr>
              <w:pStyle w:val="TableParagraph"/>
              <w:spacing w:before="5"/>
              <w:rPr>
                <w:rFonts w:ascii="黑体"/>
                <w:sz w:val="20"/>
              </w:rPr>
            </w:pPr>
          </w:p>
          <w:p>
            <w:pPr>
              <w:pStyle w:val="TableParagraph"/>
              <w:ind w:left="121" w:right="107"/>
              <w:jc w:val="center"/>
              <w:rPr>
                <w:sz w:val="18"/>
              </w:rPr>
            </w:pPr>
            <w:r>
              <w:rPr>
                <w:sz w:val="18"/>
              </w:rPr>
              <w:t>每季度</w:t>
            </w:r>
          </w:p>
        </w:tc>
        <w:tc>
          <w:tcPr>
            <w:tcW w:w="5522" w:type="dxa"/>
          </w:tcPr>
          <w:p>
            <w:pPr>
              <w:pStyle w:val="TableParagraph"/>
              <w:spacing w:before="144"/>
              <w:ind w:left="11"/>
              <w:rPr>
                <w:sz w:val="18"/>
              </w:rPr>
            </w:pPr>
            <w:r>
              <w:rPr>
                <w:sz w:val="18"/>
              </w:rPr>
              <w:t>1、宾馆、餐饮场所、医院、学校等厨房的烟道至少每季度清洗一次；</w:t>
            </w:r>
          </w:p>
          <w:p>
            <w:pPr>
              <w:pStyle w:val="TableParagraph"/>
              <w:spacing w:before="4"/>
              <w:ind w:left="11"/>
              <w:rPr>
                <w:sz w:val="18"/>
              </w:rPr>
            </w:pPr>
            <w:r>
              <w:rPr>
                <w:sz w:val="18"/>
              </w:rPr>
              <w:t>2、火灾高危单位至少每季度组织一次灭火和应急疏散演练。</w:t>
            </w:r>
          </w:p>
        </w:tc>
      </w:tr>
      <w:tr>
        <w:trPr>
          <w:trHeight w:val="978" w:hRule="atLeast"/>
        </w:trPr>
        <w:tc>
          <w:tcPr>
            <w:tcW w:w="1001" w:type="dxa"/>
          </w:tcPr>
          <w:p>
            <w:pPr>
              <w:pStyle w:val="TableParagraph"/>
              <w:rPr>
                <w:rFonts w:ascii="黑体"/>
                <w:sz w:val="18"/>
              </w:rPr>
            </w:pPr>
          </w:p>
          <w:p>
            <w:pPr>
              <w:pStyle w:val="TableParagraph"/>
              <w:spacing w:before="143"/>
              <w:ind w:left="121" w:right="107"/>
              <w:jc w:val="center"/>
              <w:rPr>
                <w:sz w:val="18"/>
              </w:rPr>
            </w:pPr>
            <w:r>
              <w:rPr>
                <w:sz w:val="18"/>
              </w:rPr>
              <w:t>每半年</w:t>
            </w:r>
          </w:p>
        </w:tc>
        <w:tc>
          <w:tcPr>
            <w:tcW w:w="5522" w:type="dxa"/>
          </w:tcPr>
          <w:p>
            <w:pPr>
              <w:pStyle w:val="TableParagraph"/>
              <w:spacing w:before="139"/>
              <w:ind w:left="11"/>
              <w:rPr>
                <w:sz w:val="18"/>
              </w:rPr>
            </w:pPr>
            <w:r>
              <w:rPr>
                <w:sz w:val="18"/>
              </w:rPr>
              <w:t>1、至少每半年组织一次对从业人员的集中消防培训；</w:t>
            </w:r>
          </w:p>
          <w:p>
            <w:pPr>
              <w:pStyle w:val="TableParagraph"/>
              <w:spacing w:before="4"/>
              <w:ind w:left="11"/>
              <w:rPr>
                <w:sz w:val="18"/>
              </w:rPr>
            </w:pPr>
            <w:r>
              <w:rPr>
                <w:sz w:val="18"/>
              </w:rPr>
              <w:t>2、至少每半年组织一次消防演练。</w:t>
            </w:r>
          </w:p>
          <w:p>
            <w:pPr>
              <w:pStyle w:val="TableParagraph"/>
              <w:spacing w:before="2"/>
              <w:ind w:left="11"/>
              <w:rPr>
                <w:sz w:val="18"/>
              </w:rPr>
            </w:pPr>
            <w:r>
              <w:rPr>
                <w:sz w:val="18"/>
              </w:rPr>
              <w:t>3、签订一份消防安全承诺书（每半年更新）；</w:t>
            </w:r>
          </w:p>
        </w:tc>
      </w:tr>
      <w:tr>
        <w:trPr>
          <w:trHeight w:val="1550" w:hRule="atLeast"/>
        </w:trPr>
        <w:tc>
          <w:tcPr>
            <w:tcW w:w="1001" w:type="dxa"/>
          </w:tcPr>
          <w:p>
            <w:pPr>
              <w:pStyle w:val="TableParagraph"/>
              <w:rPr>
                <w:rFonts w:ascii="黑体"/>
                <w:sz w:val="18"/>
              </w:rPr>
            </w:pPr>
          </w:p>
          <w:p>
            <w:pPr>
              <w:pStyle w:val="TableParagraph"/>
              <w:rPr>
                <w:rFonts w:ascii="黑体"/>
                <w:sz w:val="18"/>
              </w:rPr>
            </w:pPr>
          </w:p>
          <w:p>
            <w:pPr>
              <w:pStyle w:val="TableParagraph"/>
              <w:spacing w:before="4"/>
              <w:rPr>
                <w:rFonts w:ascii="黑体"/>
                <w:sz w:val="15"/>
              </w:rPr>
            </w:pPr>
          </w:p>
          <w:p>
            <w:pPr>
              <w:pStyle w:val="TableParagraph"/>
              <w:ind w:left="121" w:right="110"/>
              <w:jc w:val="center"/>
              <w:rPr>
                <w:sz w:val="18"/>
              </w:rPr>
            </w:pPr>
            <w:r>
              <w:rPr>
                <w:sz w:val="18"/>
              </w:rPr>
              <w:t>每年</w:t>
            </w:r>
          </w:p>
        </w:tc>
        <w:tc>
          <w:tcPr>
            <w:tcW w:w="5522" w:type="dxa"/>
          </w:tcPr>
          <w:p>
            <w:pPr>
              <w:pStyle w:val="TableParagraph"/>
              <w:spacing w:before="2"/>
              <w:rPr>
                <w:rFonts w:ascii="黑体"/>
                <w:sz w:val="24"/>
              </w:rPr>
            </w:pPr>
          </w:p>
          <w:p>
            <w:pPr>
              <w:pStyle w:val="TableParagraph"/>
              <w:ind w:left="11"/>
              <w:rPr>
                <w:sz w:val="18"/>
              </w:rPr>
            </w:pPr>
            <w:r>
              <w:rPr>
                <w:sz w:val="18"/>
              </w:rPr>
              <w:t>1、开展一次消防安全评估；</w:t>
            </w:r>
          </w:p>
          <w:p>
            <w:pPr>
              <w:pStyle w:val="TableParagraph"/>
              <w:spacing w:before="2"/>
              <w:ind w:left="11"/>
              <w:rPr>
                <w:sz w:val="18"/>
              </w:rPr>
            </w:pPr>
            <w:r>
              <w:rPr>
                <w:sz w:val="18"/>
              </w:rPr>
              <w:t>2、组织一次电气和燃气线路设施检测；</w:t>
            </w:r>
          </w:p>
          <w:p>
            <w:pPr>
              <w:pStyle w:val="TableParagraph"/>
              <w:spacing w:line="242" w:lineRule="auto" w:before="2"/>
              <w:ind w:left="11" w:right="1"/>
              <w:rPr>
                <w:sz w:val="18"/>
              </w:rPr>
            </w:pPr>
            <w:r>
              <w:rPr>
                <w:spacing w:val="-19"/>
                <w:sz w:val="18"/>
              </w:rPr>
              <w:t>3</w:t>
            </w:r>
            <w:r>
              <w:rPr>
                <w:spacing w:val="-8"/>
                <w:sz w:val="18"/>
              </w:rPr>
              <w:t>、对建筑消防设施委 托具有相关资质的单位，每年至少进行一次全面</w:t>
            </w:r>
            <w:r>
              <w:rPr>
                <w:sz w:val="18"/>
              </w:rPr>
              <w:t>检测。</w:t>
            </w:r>
          </w:p>
        </w:tc>
      </w:tr>
    </w:tbl>
    <w:p>
      <w:pPr>
        <w:spacing w:after="0" w:line="242" w:lineRule="auto"/>
        <w:rPr>
          <w:sz w:val="18"/>
        </w:rPr>
        <w:sectPr>
          <w:footerReference w:type="default" r:id="rId34"/>
          <w:footerReference w:type="even" r:id="rId35"/>
          <w:pgSz w:w="8400" w:h="11910"/>
          <w:pgMar w:footer="870" w:header="0" w:top="1100" w:bottom="1060" w:left="820" w:right="780"/>
          <w:pgNumType w:start="71"/>
        </w:sectPr>
      </w:pPr>
    </w:p>
    <w:p>
      <w:pPr>
        <w:pStyle w:val="Heading2"/>
        <w:spacing w:before="104"/>
        <w:ind w:left="200"/>
        <w:jc w:val="left"/>
      </w:pPr>
      <w:bookmarkStart w:name="_bookmark27" w:id="28"/>
      <w:bookmarkEnd w:id="28"/>
      <w:r>
        <w:rPr>
          <w:b w:val="0"/>
        </w:rPr>
      </w:r>
      <w:r>
        <w:rPr/>
        <w:t>附件五：《中华人民共和国消防法》</w:t>
      </w:r>
    </w:p>
    <w:p>
      <w:pPr>
        <w:pStyle w:val="BodyText"/>
        <w:spacing w:before="9"/>
        <w:ind w:left="0"/>
        <w:rPr>
          <w:b/>
          <w:sz w:val="31"/>
        </w:rPr>
      </w:pPr>
    </w:p>
    <w:p>
      <w:pPr>
        <w:spacing w:before="0"/>
        <w:ind w:left="0" w:right="38" w:firstLine="0"/>
        <w:jc w:val="center"/>
        <w:rPr>
          <w:rFonts w:ascii="黑体" w:eastAsia="黑体" w:hint="eastAsia"/>
          <w:sz w:val="30"/>
        </w:rPr>
      </w:pPr>
      <w:r>
        <w:rPr>
          <w:rFonts w:ascii="黑体" w:eastAsia="黑体" w:hint="eastAsia"/>
          <w:sz w:val="30"/>
        </w:rPr>
        <w:t>中华人民共和国主席令</w:t>
      </w:r>
    </w:p>
    <w:p>
      <w:pPr>
        <w:pStyle w:val="BodyText"/>
        <w:spacing w:before="9"/>
        <w:ind w:left="0"/>
        <w:rPr>
          <w:rFonts w:ascii="黑体"/>
          <w:sz w:val="34"/>
        </w:rPr>
      </w:pPr>
    </w:p>
    <w:p>
      <w:pPr>
        <w:spacing w:before="0"/>
        <w:ind w:left="0" w:right="36" w:firstLine="0"/>
        <w:jc w:val="center"/>
        <w:rPr>
          <w:sz w:val="28"/>
        </w:rPr>
      </w:pPr>
      <w:r>
        <w:rPr>
          <w:sz w:val="28"/>
        </w:rPr>
        <w:t>第六号</w:t>
      </w:r>
    </w:p>
    <w:p>
      <w:pPr>
        <w:pStyle w:val="BodyText"/>
        <w:spacing w:before="1"/>
        <w:ind w:left="0"/>
        <w:rPr>
          <w:sz w:val="40"/>
        </w:rPr>
      </w:pPr>
    </w:p>
    <w:p>
      <w:pPr>
        <w:pStyle w:val="BodyText"/>
        <w:spacing w:line="343" w:lineRule="auto"/>
        <w:ind w:right="186" w:firstLine="458"/>
        <w:jc w:val="both"/>
      </w:pPr>
      <w:r>
        <w:rPr>
          <w:spacing w:val="-9"/>
        </w:rPr>
        <w:t>《中华人民共和国消防法》已由中华人民共和国第十一届</w:t>
      </w:r>
      <w:r>
        <w:rPr>
          <w:spacing w:val="-11"/>
        </w:rPr>
        <w:t>全国人民代表大会常务委员会第五次会议于 </w:t>
      </w:r>
      <w:r>
        <w:rPr/>
        <w:t>2008</w:t>
      </w:r>
      <w:r>
        <w:rPr>
          <w:spacing w:val="-35"/>
        </w:rPr>
        <w:t> 年 </w:t>
      </w:r>
      <w:r>
        <w:rPr/>
        <w:t>10</w:t>
      </w:r>
      <w:r>
        <w:rPr>
          <w:spacing w:val="-34"/>
        </w:rPr>
        <w:t> 月 </w:t>
      </w:r>
      <w:r>
        <w:rPr/>
        <w:t>28 </w:t>
      </w:r>
      <w:r>
        <w:rPr>
          <w:spacing w:val="-11"/>
        </w:rPr>
        <w:t>日修订通过，现将修订后的《中华人民共和国消防法》公布， </w:t>
      </w:r>
      <w:r>
        <w:rPr/>
        <w:t>自 2009</w:t>
      </w:r>
      <w:r>
        <w:rPr>
          <w:spacing w:val="-41"/>
        </w:rPr>
        <w:t> 年 </w:t>
      </w:r>
      <w:r>
        <w:rPr/>
        <w:t>5</w:t>
      </w:r>
      <w:r>
        <w:rPr>
          <w:spacing w:val="-40"/>
        </w:rPr>
        <w:t> 月 </w:t>
      </w:r>
      <w:r>
        <w:rPr/>
        <w:t>1</w:t>
      </w:r>
      <w:r>
        <w:rPr>
          <w:spacing w:val="-10"/>
        </w:rPr>
        <w:t> 日起施行。</w:t>
      </w:r>
    </w:p>
    <w:p>
      <w:pPr>
        <w:pStyle w:val="BodyText"/>
        <w:ind w:left="0"/>
      </w:pPr>
    </w:p>
    <w:p>
      <w:pPr>
        <w:pStyle w:val="BodyText"/>
        <w:ind w:left="0"/>
      </w:pPr>
    </w:p>
    <w:p>
      <w:pPr>
        <w:pStyle w:val="BodyText"/>
        <w:tabs>
          <w:tab w:pos="5273" w:val="left" w:leader="none"/>
        </w:tabs>
        <w:spacing w:line="312" w:lineRule="auto" w:before="154"/>
        <w:ind w:left="3187" w:right="797" w:hanging="315"/>
      </w:pPr>
      <w:r>
        <w:rPr/>
        <w:t>中华人民共和国主席</w:t>
        <w:tab/>
        <w:t>胡锦</w:t>
      </w:r>
      <w:r>
        <w:rPr>
          <w:spacing w:val="-18"/>
        </w:rPr>
        <w:t>涛</w:t>
      </w:r>
      <w:r>
        <w:rPr/>
        <w:t>2008</w:t>
      </w:r>
      <w:r>
        <w:rPr>
          <w:spacing w:val="-60"/>
        </w:rPr>
        <w:t> </w:t>
      </w:r>
      <w:r>
        <w:rPr/>
        <w:t>年</w:t>
      </w:r>
      <w:r>
        <w:rPr>
          <w:spacing w:val="-60"/>
        </w:rPr>
        <w:t> </w:t>
      </w:r>
      <w:r>
        <w:rPr/>
        <w:t>10</w:t>
      </w:r>
      <w:r>
        <w:rPr>
          <w:spacing w:val="-60"/>
        </w:rPr>
        <w:t> </w:t>
      </w:r>
      <w:r>
        <w:rPr/>
        <w:t>月</w:t>
      </w:r>
      <w:r>
        <w:rPr>
          <w:spacing w:val="-60"/>
        </w:rPr>
        <w:t> </w:t>
      </w:r>
      <w:r>
        <w:rPr/>
        <w:t>28</w:t>
      </w:r>
      <w:r>
        <w:rPr>
          <w:spacing w:val="-60"/>
        </w:rPr>
        <w:t> </w:t>
      </w:r>
      <w:r>
        <w:rPr/>
        <w:t>日</w:t>
      </w:r>
    </w:p>
    <w:p>
      <w:pPr>
        <w:pStyle w:val="BodyText"/>
        <w:ind w:left="0"/>
      </w:pPr>
    </w:p>
    <w:p>
      <w:pPr>
        <w:pStyle w:val="BodyText"/>
        <w:ind w:left="0"/>
      </w:pPr>
    </w:p>
    <w:p>
      <w:pPr>
        <w:pStyle w:val="BodyText"/>
        <w:spacing w:before="2"/>
        <w:ind w:left="0"/>
        <w:rPr>
          <w:sz w:val="21"/>
        </w:rPr>
      </w:pPr>
    </w:p>
    <w:p>
      <w:pPr>
        <w:pStyle w:val="BodyText"/>
        <w:ind w:left="0" w:right="239"/>
        <w:jc w:val="right"/>
      </w:pPr>
      <w:r>
        <w:rPr/>
        <w:t>(1998</w:t>
      </w:r>
      <w:r>
        <w:rPr>
          <w:spacing w:val="-34"/>
        </w:rPr>
        <w:t> 年 </w:t>
      </w:r>
      <w:r>
        <w:rPr/>
        <w:t>4</w:t>
      </w:r>
      <w:r>
        <w:rPr>
          <w:spacing w:val="-34"/>
        </w:rPr>
        <w:t> 月 </w:t>
      </w:r>
      <w:r>
        <w:rPr/>
        <w:t>29</w:t>
      </w:r>
      <w:r>
        <w:rPr>
          <w:spacing w:val="-8"/>
        </w:rPr>
        <w:t> 日第九届全国人民代表大会常务委员会</w:t>
      </w:r>
    </w:p>
    <w:p>
      <w:pPr>
        <w:pStyle w:val="BodyText"/>
        <w:spacing w:before="151"/>
        <w:ind w:left="0" w:right="239"/>
        <w:jc w:val="right"/>
      </w:pPr>
      <w:r>
        <w:rPr/>
        <w:t>第二次会议通过，2008</w:t>
      </w:r>
      <w:r>
        <w:rPr>
          <w:spacing w:val="-34"/>
        </w:rPr>
        <w:t> 年 </w:t>
      </w:r>
      <w:r>
        <w:rPr/>
        <w:t>10</w:t>
      </w:r>
      <w:r>
        <w:rPr>
          <w:spacing w:val="-34"/>
        </w:rPr>
        <w:t> 月 </w:t>
      </w:r>
      <w:r>
        <w:rPr/>
        <w:t>28</w:t>
      </w:r>
      <w:r>
        <w:rPr>
          <w:spacing w:val="-8"/>
        </w:rPr>
        <w:t> 日第十一届全国人民代表</w:t>
      </w:r>
    </w:p>
    <w:p>
      <w:pPr>
        <w:pStyle w:val="BodyText"/>
        <w:spacing w:before="153"/>
        <w:ind w:left="0" w:right="238"/>
        <w:jc w:val="right"/>
      </w:pPr>
      <w:r>
        <w:rPr>
          <w:spacing w:val="-4"/>
        </w:rPr>
        <w:t>大会常务委员会第五次会议修订，</w:t>
      </w:r>
      <w:r>
        <w:rPr>
          <w:spacing w:val="-8"/>
        </w:rPr>
        <w:t>2019</w:t>
      </w:r>
      <w:r>
        <w:rPr>
          <w:spacing w:val="-40"/>
        </w:rPr>
        <w:t> 年 </w:t>
      </w:r>
      <w:r>
        <w:rPr/>
        <w:t>4</w:t>
      </w:r>
      <w:r>
        <w:rPr>
          <w:spacing w:val="-39"/>
        </w:rPr>
        <w:t> 月 </w:t>
      </w:r>
      <w:r>
        <w:rPr/>
        <w:t>23</w:t>
      </w:r>
      <w:r>
        <w:rPr>
          <w:spacing w:val="-10"/>
        </w:rPr>
        <w:t> 日第十三届</w:t>
      </w:r>
    </w:p>
    <w:p>
      <w:pPr>
        <w:pStyle w:val="BodyText"/>
        <w:spacing w:before="154"/>
      </w:pPr>
      <w:r>
        <w:rPr>
          <w:spacing w:val="-2"/>
        </w:rPr>
        <w:t>全国人民代表大会常务委员会第十次会议修订，自 </w:t>
      </w:r>
      <w:r>
        <w:rPr/>
        <w:t>2019</w:t>
      </w:r>
      <w:r>
        <w:rPr>
          <w:spacing w:val="-30"/>
        </w:rPr>
        <w:t> 年 </w:t>
      </w:r>
      <w:r>
        <w:rPr/>
        <w:t>4</w:t>
      </w:r>
    </w:p>
    <w:p>
      <w:pPr>
        <w:pStyle w:val="BodyText"/>
        <w:spacing w:before="151"/>
      </w:pPr>
      <w:r>
        <w:rPr/>
        <w:t>月 23 日起施行)。</w:t>
      </w:r>
    </w:p>
    <w:p>
      <w:pPr>
        <w:spacing w:after="0"/>
        <w:sectPr>
          <w:pgSz w:w="8400" w:h="11910"/>
          <w:pgMar w:header="0" w:footer="870" w:top="1100" w:bottom="1060" w:left="820" w:right="780"/>
        </w:sectPr>
      </w:pPr>
    </w:p>
    <w:p>
      <w:pPr>
        <w:pStyle w:val="BodyText"/>
        <w:ind w:left="0"/>
        <w:rPr>
          <w:sz w:val="14"/>
        </w:rPr>
      </w:pPr>
    </w:p>
    <w:p>
      <w:pPr>
        <w:pStyle w:val="Heading2"/>
        <w:tabs>
          <w:tab w:pos="1680" w:val="left" w:leader="none"/>
        </w:tabs>
        <w:spacing w:before="62"/>
        <w:ind w:right="40"/>
      </w:pPr>
      <w:r>
        <w:rPr/>
        <w:t>第一章</w:t>
      </w:r>
      <w:r>
        <w:rPr>
          <w:spacing w:val="-1"/>
        </w:rPr>
        <w:t> </w:t>
      </w:r>
      <w:r>
        <w:rPr/>
        <w:t>总</w:t>
        <w:tab/>
        <w:t>则</w:t>
      </w:r>
    </w:p>
    <w:p>
      <w:pPr>
        <w:pStyle w:val="BodyText"/>
        <w:spacing w:line="312" w:lineRule="auto" w:before="209"/>
        <w:ind w:right="229" w:firstLine="456"/>
        <w:jc w:val="both"/>
      </w:pPr>
      <w:r>
        <w:rPr/>
        <w:t>第一条 为了预防火灾和减少火灾危害，加强应急救援工作，保护人身、财产安全，维护公共安全，制定本法。</w:t>
      </w:r>
    </w:p>
    <w:p>
      <w:pPr>
        <w:pStyle w:val="BodyText"/>
        <w:spacing w:line="312" w:lineRule="auto"/>
        <w:ind w:right="227" w:firstLine="456"/>
        <w:jc w:val="both"/>
      </w:pPr>
      <w:r>
        <w:rPr>
          <w:spacing w:val="-10"/>
        </w:rPr>
        <w:t>第二条 消防工作贯彻预防为主、防消结合的方针，按照政</w:t>
      </w:r>
      <w:r>
        <w:rPr>
          <w:spacing w:val="-17"/>
        </w:rPr>
        <w:t>府统一领导、部门依法监管、单位全面负责、公民积极参与的原</w:t>
      </w:r>
      <w:r>
        <w:rPr>
          <w:spacing w:val="-12"/>
        </w:rPr>
        <w:t>则，实行消防安全责任制，建立健全社会化的消防工作网络。</w:t>
      </w:r>
    </w:p>
    <w:p>
      <w:pPr>
        <w:pStyle w:val="BodyText"/>
        <w:spacing w:line="312" w:lineRule="auto" w:before="1"/>
        <w:ind w:right="229" w:firstLine="456"/>
        <w:jc w:val="both"/>
      </w:pPr>
      <w:r>
        <w:rPr>
          <w:spacing w:val="-10"/>
        </w:rPr>
        <w:t>第三条 国务院领导全国的消防工作。地方各级人民政府负</w:t>
      </w:r>
      <w:r>
        <w:rPr>
          <w:spacing w:val="-12"/>
        </w:rPr>
        <w:t>责本行政区域内的消防工作。</w:t>
      </w:r>
    </w:p>
    <w:p>
      <w:pPr>
        <w:pStyle w:val="BodyText"/>
        <w:spacing w:line="312" w:lineRule="auto"/>
        <w:ind w:right="227" w:firstLine="456"/>
      </w:pPr>
      <w:r>
        <w:rPr>
          <w:spacing w:val="-5"/>
        </w:rPr>
        <w:t>各级人民政府应当将消防工作纳入国民经济和社会发展计</w:t>
      </w:r>
      <w:r>
        <w:rPr>
          <w:spacing w:val="-12"/>
        </w:rPr>
        <w:t>划，保障消防工作与经济社会发展相适应。</w:t>
      </w:r>
    </w:p>
    <w:p>
      <w:pPr>
        <w:pStyle w:val="BodyText"/>
        <w:spacing w:line="312" w:lineRule="auto" w:before="2"/>
        <w:ind w:right="205" w:firstLine="456"/>
        <w:jc w:val="both"/>
      </w:pPr>
      <w:r>
        <w:rPr>
          <w:spacing w:val="-10"/>
        </w:rPr>
        <w:t>第四条 国务院应急管理部门对全国的消防工作实施监督管</w:t>
      </w:r>
      <w:r>
        <w:rPr>
          <w:spacing w:val="-18"/>
        </w:rPr>
        <w:t>理。县级以上地方人民政府应急管理部门对本行政区域内的消防</w:t>
      </w:r>
      <w:r>
        <w:rPr>
          <w:spacing w:val="-13"/>
        </w:rPr>
        <w:t>工作实施监督管理，并由本级人民政府消防救援机构负责实施。</w:t>
      </w:r>
      <w:r>
        <w:rPr>
          <w:spacing w:val="-17"/>
        </w:rPr>
        <w:t>军事设施的消防工作，由其主管单位监督管理，消防救援机构协</w:t>
      </w:r>
      <w:r>
        <w:rPr>
          <w:spacing w:val="-18"/>
        </w:rPr>
        <w:t>助；矿井地下部分、核电厂、海上石油天然气设施的消防工作， </w:t>
      </w:r>
      <w:r>
        <w:rPr>
          <w:spacing w:val="-12"/>
        </w:rPr>
        <w:t>由其主管单位监督管理。</w:t>
      </w:r>
    </w:p>
    <w:p>
      <w:pPr>
        <w:pStyle w:val="BodyText"/>
        <w:spacing w:line="312" w:lineRule="auto" w:before="2"/>
        <w:ind w:right="239" w:firstLine="456"/>
      </w:pPr>
      <w:r>
        <w:rPr>
          <w:spacing w:val="-15"/>
        </w:rPr>
        <w:t>县级以上人民政府其他有关部门在各自职责范围内，依照本</w:t>
      </w:r>
      <w:r>
        <w:rPr>
          <w:spacing w:val="-12"/>
        </w:rPr>
        <w:t>法和其他相关法律、法规的规定做好消防工作。</w:t>
      </w:r>
    </w:p>
    <w:p>
      <w:pPr>
        <w:pStyle w:val="BodyText"/>
        <w:spacing w:line="314" w:lineRule="auto"/>
        <w:ind w:right="230" w:firstLine="456"/>
      </w:pPr>
      <w:r>
        <w:rPr>
          <w:spacing w:val="-19"/>
        </w:rPr>
        <w:t>法律、行政法规对森林、草原的消防工作另有规定的，从其</w:t>
      </w:r>
      <w:r>
        <w:rPr>
          <w:spacing w:val="-12"/>
        </w:rPr>
        <w:t>规定。</w:t>
      </w:r>
    </w:p>
    <w:p>
      <w:pPr>
        <w:pStyle w:val="BodyText"/>
        <w:spacing w:line="312" w:lineRule="auto"/>
        <w:ind w:right="227" w:firstLine="456"/>
        <w:jc w:val="both"/>
      </w:pPr>
      <w:r>
        <w:rPr>
          <w:spacing w:val="-1"/>
        </w:rPr>
        <w:t>第五条 任何单位和个人都有维护消防安全、保护消防设</w:t>
      </w:r>
      <w:r>
        <w:rPr>
          <w:spacing w:val="-18"/>
        </w:rPr>
        <w:t>施、预防火灾、报告火警的义务。任何单位和成年人都有参加有</w:t>
      </w:r>
      <w:r>
        <w:rPr>
          <w:spacing w:val="-12"/>
        </w:rPr>
        <w:t>组织的灭火工作的义务。</w:t>
      </w:r>
    </w:p>
    <w:p>
      <w:pPr>
        <w:spacing w:after="0" w:line="312" w:lineRule="auto"/>
        <w:jc w:val="both"/>
        <w:sectPr>
          <w:pgSz w:w="8400" w:h="11910"/>
          <w:pgMar w:header="0" w:footer="870" w:top="1100" w:bottom="1060" w:left="820" w:right="780"/>
        </w:sectPr>
      </w:pPr>
    </w:p>
    <w:p>
      <w:pPr>
        <w:pStyle w:val="BodyText"/>
        <w:spacing w:line="312" w:lineRule="auto" w:before="127"/>
        <w:ind w:right="229" w:firstLine="456"/>
      </w:pPr>
      <w:r>
        <w:rPr/>
        <w:t>第六条 各级人民政府应当组织开展经常性的消防宣传教育，提高公民的消防安全意识。</w:t>
      </w:r>
    </w:p>
    <w:p>
      <w:pPr>
        <w:pStyle w:val="BodyText"/>
        <w:spacing w:line="312" w:lineRule="auto" w:before="2"/>
        <w:ind w:right="227" w:firstLine="456"/>
      </w:pPr>
      <w:r>
        <w:rPr>
          <w:spacing w:val="-17"/>
        </w:rPr>
        <w:t>机关、团体、企业、事业等单位，应当加强对本单位人员的</w:t>
      </w:r>
      <w:r>
        <w:rPr>
          <w:spacing w:val="-12"/>
        </w:rPr>
        <w:t>消防宣传教育。</w:t>
      </w:r>
    </w:p>
    <w:p>
      <w:pPr>
        <w:pStyle w:val="BodyText"/>
        <w:spacing w:line="312" w:lineRule="auto"/>
        <w:ind w:right="239" w:firstLine="456"/>
      </w:pPr>
      <w:r>
        <w:rPr>
          <w:spacing w:val="-15"/>
        </w:rPr>
        <w:t>应急管理部门及消防救援机构应当加强消防法律、法规的宣</w:t>
      </w:r>
      <w:r>
        <w:rPr>
          <w:spacing w:val="-12"/>
        </w:rPr>
        <w:t>传，并督促、指导、协助有关单位做好消防宣传教育工作。</w:t>
      </w:r>
    </w:p>
    <w:p>
      <w:pPr>
        <w:pStyle w:val="BodyText"/>
        <w:spacing w:line="314" w:lineRule="auto"/>
        <w:ind w:right="227" w:firstLine="456"/>
      </w:pPr>
      <w:r>
        <w:rPr>
          <w:spacing w:val="-19"/>
        </w:rPr>
        <w:t>教育、人力资源行政主管部门和学校、有关职业培训机构应</w:t>
      </w:r>
      <w:r>
        <w:rPr>
          <w:spacing w:val="-12"/>
        </w:rPr>
        <w:t>当将消防知识纳入教育、教学、培训的内容。</w:t>
      </w:r>
    </w:p>
    <w:p>
      <w:pPr>
        <w:pStyle w:val="BodyText"/>
        <w:spacing w:line="312" w:lineRule="auto"/>
        <w:ind w:right="227" w:firstLine="456"/>
      </w:pPr>
      <w:r>
        <w:rPr>
          <w:spacing w:val="-18"/>
        </w:rPr>
        <w:t>新闻、广播、电视等有关单位，应当有针对性地面向社会进</w:t>
      </w:r>
      <w:r>
        <w:rPr>
          <w:spacing w:val="-12"/>
        </w:rPr>
        <w:t>行消防宣传教育。</w:t>
      </w:r>
    </w:p>
    <w:p>
      <w:pPr>
        <w:pStyle w:val="BodyText"/>
        <w:spacing w:line="312" w:lineRule="auto"/>
        <w:ind w:right="227" w:firstLine="456"/>
      </w:pPr>
      <w:r>
        <w:rPr>
          <w:spacing w:val="-19"/>
        </w:rPr>
        <w:t>工会、共产主义青年团、妇女联合会等团体应当结合各自工</w:t>
      </w:r>
      <w:r>
        <w:rPr>
          <w:spacing w:val="-12"/>
        </w:rPr>
        <w:t>作对象的特点，组织开展消防宣传教育。</w:t>
      </w:r>
    </w:p>
    <w:p>
      <w:pPr>
        <w:pStyle w:val="BodyText"/>
        <w:spacing w:line="312" w:lineRule="auto"/>
        <w:ind w:right="206" w:firstLine="456"/>
      </w:pPr>
      <w:r>
        <w:rPr>
          <w:spacing w:val="-13"/>
        </w:rPr>
        <w:t>村民委员会、居民委员会应当协助人民政府以及公安机关、应急管理等部门，加强消防宣传教育。</w:t>
      </w:r>
    </w:p>
    <w:p>
      <w:pPr>
        <w:pStyle w:val="BodyText"/>
        <w:spacing w:line="312" w:lineRule="auto"/>
        <w:ind w:right="229" w:firstLine="456"/>
        <w:jc w:val="both"/>
      </w:pPr>
      <w:r>
        <w:rPr>
          <w:spacing w:val="-10"/>
        </w:rPr>
        <w:t>第七条 国家鼓励、支持消防科学研宄和技术创新，推广使</w:t>
      </w:r>
      <w:r>
        <w:rPr>
          <w:spacing w:val="-17"/>
        </w:rPr>
        <w:t>用先进的消防和应急救援技术、设备；鼓励、支持社会力量开展消防公益活动。</w:t>
      </w:r>
    </w:p>
    <w:p>
      <w:pPr>
        <w:pStyle w:val="BodyText"/>
        <w:spacing w:line="312" w:lineRule="auto"/>
        <w:ind w:right="239" w:firstLine="456"/>
      </w:pPr>
      <w:r>
        <w:rPr>
          <w:spacing w:val="-15"/>
        </w:rPr>
        <w:t>对在消防工作中有突出贡献的单位和个人，应当按照国家有</w:t>
      </w:r>
      <w:r>
        <w:rPr>
          <w:spacing w:val="-12"/>
        </w:rPr>
        <w:t>关规定给予表彰和奖励。</w:t>
      </w:r>
    </w:p>
    <w:p>
      <w:pPr>
        <w:pStyle w:val="Heading2"/>
        <w:spacing w:before="112"/>
        <w:ind w:left="2322"/>
        <w:jc w:val="left"/>
      </w:pPr>
      <w:r>
        <w:rPr/>
        <w:t>第二章 火灾预防</w:t>
      </w:r>
    </w:p>
    <w:p>
      <w:pPr>
        <w:pStyle w:val="BodyText"/>
        <w:spacing w:line="328" w:lineRule="auto" w:before="225"/>
        <w:ind w:right="227" w:firstLine="456"/>
        <w:jc w:val="both"/>
      </w:pPr>
      <w:r>
        <w:rPr>
          <w:spacing w:val="-10"/>
        </w:rPr>
        <w:t>第八条 地方各级人民政府应当将包括消防安全布局、消防</w:t>
      </w:r>
      <w:r>
        <w:rPr>
          <w:spacing w:val="-17"/>
        </w:rPr>
        <w:t>站、消防供水、消防通信、消防车通道、消防装备等内容的消防</w:t>
      </w:r>
      <w:r>
        <w:rPr>
          <w:spacing w:val="-12"/>
        </w:rPr>
        <w:t>规划纳入城乡规划，并负责组织实施。</w:t>
      </w:r>
    </w:p>
    <w:p>
      <w:pPr>
        <w:spacing w:after="0" w:line="328" w:lineRule="auto"/>
        <w:jc w:val="both"/>
        <w:sectPr>
          <w:pgSz w:w="8400" w:h="11910"/>
          <w:pgMar w:header="0" w:footer="870" w:top="1100" w:bottom="1060" w:left="820" w:right="780"/>
        </w:sectPr>
      </w:pPr>
    </w:p>
    <w:p>
      <w:pPr>
        <w:pStyle w:val="BodyText"/>
        <w:spacing w:line="328" w:lineRule="auto" w:before="144"/>
        <w:ind w:right="227" w:firstLine="456"/>
        <w:jc w:val="both"/>
      </w:pPr>
      <w:r>
        <w:rPr>
          <w:spacing w:val="-5"/>
        </w:rPr>
        <w:t>城乡消防安全布局不符合消防安全要求的，应当调整、完</w:t>
      </w:r>
      <w:r>
        <w:rPr>
          <w:spacing w:val="-18"/>
        </w:rPr>
        <w:t>善；公共消防设施、消防装备不足或者不适应实际需要的，应当</w:t>
      </w:r>
      <w:r>
        <w:rPr>
          <w:spacing w:val="-12"/>
        </w:rPr>
        <w:t>增建、改建、配置或者进行技术改造。</w:t>
      </w:r>
    </w:p>
    <w:p>
      <w:pPr>
        <w:pStyle w:val="BodyText"/>
        <w:spacing w:line="328" w:lineRule="auto"/>
        <w:ind w:right="227" w:firstLine="456"/>
        <w:jc w:val="both"/>
      </w:pPr>
      <w:r>
        <w:rPr>
          <w:spacing w:val="-10"/>
        </w:rPr>
        <w:t>第九条 建设工程的消防设计、施工必须符合国家工程建设</w:t>
      </w:r>
      <w:r>
        <w:rPr>
          <w:spacing w:val="-17"/>
        </w:rPr>
        <w:t>消防技术标准。建设、设计、施工、工程监理等单位依法对建设</w:t>
      </w:r>
      <w:r>
        <w:rPr>
          <w:spacing w:val="-12"/>
        </w:rPr>
        <w:t>工程的消防设计、施工质量负责。</w:t>
      </w:r>
    </w:p>
    <w:p>
      <w:pPr>
        <w:pStyle w:val="BodyText"/>
        <w:spacing w:line="328" w:lineRule="auto"/>
        <w:ind w:right="229" w:firstLine="456"/>
        <w:jc w:val="both"/>
      </w:pPr>
      <w:r>
        <w:rPr>
          <w:spacing w:val="-10"/>
        </w:rPr>
        <w:t>第十条 对按照国家工程建设消防技术标准需要进行消防设</w:t>
      </w:r>
      <w:r>
        <w:rPr>
          <w:spacing w:val="-12"/>
        </w:rPr>
        <w:t>计的建设工程，实行建设工程消防设计审查验收制度。</w:t>
      </w:r>
    </w:p>
    <w:p>
      <w:pPr>
        <w:pStyle w:val="BodyText"/>
        <w:spacing w:line="328" w:lineRule="auto"/>
        <w:ind w:right="227" w:firstLine="456"/>
        <w:jc w:val="both"/>
      </w:pPr>
      <w:r>
        <w:rPr>
          <w:spacing w:val="-10"/>
        </w:rPr>
        <w:t>第十一条 国务院住房和城乡建设主管部门规定的特殊建设</w:t>
      </w:r>
      <w:r>
        <w:rPr>
          <w:spacing w:val="-18"/>
        </w:rPr>
        <w:t>工程，建设单位应当将消防设计文件报送住房和城乡建设主管部</w:t>
      </w:r>
      <w:r>
        <w:rPr>
          <w:spacing w:val="-13"/>
        </w:rPr>
        <w:t>门审查，住房和城乡建设主管部门依法对审查的结果 负责。</w:t>
      </w:r>
    </w:p>
    <w:p>
      <w:pPr>
        <w:pStyle w:val="BodyText"/>
        <w:spacing w:line="328" w:lineRule="auto"/>
        <w:ind w:right="229" w:firstLine="456"/>
        <w:jc w:val="both"/>
      </w:pPr>
      <w:r>
        <w:rPr>
          <w:spacing w:val="-16"/>
        </w:rPr>
        <w:t>前款规定以外的其他建设工程，建设单位申请领取施工许可</w:t>
      </w:r>
      <w:r>
        <w:rPr>
          <w:spacing w:val="-6"/>
        </w:rPr>
        <w:t>证或者申请批准开工报告时应当提供满足施工需要的消防设计图纸及技术资料。</w:t>
      </w:r>
    </w:p>
    <w:p>
      <w:pPr>
        <w:pStyle w:val="BodyText"/>
        <w:spacing w:line="328" w:lineRule="auto"/>
        <w:ind w:right="229" w:firstLine="456"/>
        <w:jc w:val="both"/>
      </w:pPr>
      <w:r>
        <w:rPr>
          <w:spacing w:val="-10"/>
        </w:rPr>
        <w:t>第十二 条特殊建设工程未经消防设计审查或者审查不合格</w:t>
      </w:r>
      <w:r>
        <w:rPr>
          <w:spacing w:val="-18"/>
        </w:rPr>
        <w:t>的建设单位、施工单位不得施工；其他建设工程，建设单位未提</w:t>
      </w:r>
      <w:r>
        <w:rPr>
          <w:spacing w:val="-14"/>
        </w:rPr>
        <w:t>供满足施工需要的消防设计图纸及技术资料的，有关部门不得发放施工许可证或者批准开工报告。</w:t>
      </w:r>
    </w:p>
    <w:p>
      <w:pPr>
        <w:pStyle w:val="BodyText"/>
        <w:spacing w:line="328" w:lineRule="auto"/>
        <w:ind w:right="229" w:firstLine="456"/>
        <w:jc w:val="both"/>
      </w:pPr>
      <w:r>
        <w:rPr>
          <w:spacing w:val="-10"/>
        </w:rPr>
        <w:t>第十三条 国务院住房和城乡建设主管部门规定应当申请消</w:t>
      </w:r>
      <w:r>
        <w:rPr>
          <w:spacing w:val="-16"/>
        </w:rPr>
        <w:t>防验收的建设工程竣工，建设单位应当向住房和城乡建设主管部门申请消防验收。</w:t>
      </w:r>
    </w:p>
    <w:p>
      <w:pPr>
        <w:pStyle w:val="BodyText"/>
        <w:ind w:left="656"/>
      </w:pPr>
      <w:r>
        <w:rPr>
          <w:spacing w:val="-16"/>
        </w:rPr>
        <w:t>前款规定以外的其他建设工程，建设单位在验收后应当报住</w:t>
      </w:r>
    </w:p>
    <w:p>
      <w:pPr>
        <w:spacing w:after="0"/>
        <w:sectPr>
          <w:pgSz w:w="8400" w:h="11910"/>
          <w:pgMar w:header="0" w:footer="870" w:top="1100" w:bottom="1060" w:left="820" w:right="780"/>
        </w:sectPr>
      </w:pPr>
    </w:p>
    <w:p>
      <w:pPr>
        <w:pStyle w:val="BodyText"/>
        <w:spacing w:line="345" w:lineRule="auto" w:before="161"/>
        <w:ind w:right="239"/>
      </w:pPr>
      <w:r>
        <w:rPr>
          <w:spacing w:val="-17"/>
        </w:rPr>
        <w:t>房和城乡建设主管部门备案，住房和城乡建设主管部门应当进行</w:t>
      </w:r>
      <w:r>
        <w:rPr>
          <w:spacing w:val="-12"/>
        </w:rPr>
        <w:t>抽查。</w:t>
      </w:r>
    </w:p>
    <w:p>
      <w:pPr>
        <w:pStyle w:val="BodyText"/>
        <w:spacing w:line="343" w:lineRule="auto"/>
        <w:ind w:right="227" w:firstLine="456"/>
        <w:jc w:val="both"/>
      </w:pPr>
      <w:r>
        <w:rPr>
          <w:spacing w:val="-15"/>
        </w:rPr>
        <w:t>依法应当进行消防验收的建设工程，未经消防验收或者消防</w:t>
      </w:r>
      <w:r>
        <w:rPr>
          <w:spacing w:val="-20"/>
        </w:rPr>
        <w:t>验收不合格的，禁止投入使用；其他建设工程经依法抽查不合格</w:t>
      </w:r>
      <w:r>
        <w:rPr>
          <w:spacing w:val="-12"/>
        </w:rPr>
        <w:t>的，应当停止使用。</w:t>
      </w:r>
    </w:p>
    <w:p>
      <w:pPr>
        <w:pStyle w:val="BodyText"/>
        <w:spacing w:line="343" w:lineRule="auto"/>
        <w:ind w:right="229" w:firstLine="456"/>
        <w:jc w:val="both"/>
      </w:pPr>
      <w:r>
        <w:rPr>
          <w:spacing w:val="-10"/>
        </w:rPr>
        <w:t>第十四 条建设工程消防设计审查、消防验收、备案和抽查</w:t>
      </w:r>
      <w:r>
        <w:rPr>
          <w:spacing w:val="-12"/>
        </w:rPr>
        <w:t>的具体办法，由国务院住房和城乡建设主管部门规定。</w:t>
      </w:r>
    </w:p>
    <w:p>
      <w:pPr>
        <w:pStyle w:val="BodyText"/>
        <w:spacing w:line="343" w:lineRule="auto"/>
        <w:ind w:right="235" w:firstLine="456"/>
        <w:jc w:val="both"/>
      </w:pPr>
      <w:r>
        <w:rPr>
          <w:spacing w:val="-17"/>
        </w:rPr>
        <w:t>第十五条公众聚集场所在投入使用、营业前，建设单位或者</w:t>
      </w:r>
      <w:r>
        <w:rPr>
          <w:spacing w:val="-6"/>
        </w:rPr>
        <w:t>使用单位应当向场所所在地的县级以上地方人民政府消防救援</w:t>
      </w:r>
      <w:r>
        <w:rPr>
          <w:spacing w:val="-12"/>
        </w:rPr>
        <w:t>机构申请消防安全检查。</w:t>
      </w:r>
    </w:p>
    <w:p>
      <w:pPr>
        <w:pStyle w:val="BodyText"/>
        <w:spacing w:line="343" w:lineRule="auto"/>
        <w:ind w:right="173"/>
        <w:jc w:val="right"/>
      </w:pPr>
      <w:r>
        <w:rPr>
          <w:spacing w:val="-14"/>
        </w:rPr>
        <w:t>消防救援机构应当自受理申请之日起十个工作日内，根据消防技</w:t>
      </w:r>
      <w:r>
        <w:rPr>
          <w:spacing w:val="-18"/>
        </w:rPr>
        <w:t>术标准和管理规定，对该场所进行消防安全检查。未经消防安全</w:t>
      </w:r>
      <w:r>
        <w:rPr>
          <w:spacing w:val="-24"/>
        </w:rPr>
        <w:t>检查或者经检查不符合消防安全要求的，不得投入使 用、营业。</w:t>
      </w:r>
      <w:r>
        <w:rPr>
          <w:spacing w:val="-10"/>
        </w:rPr>
        <w:t>第十六条 机关、团体、企业、事业等单位应当履行下列消</w:t>
      </w:r>
    </w:p>
    <w:p>
      <w:pPr>
        <w:pStyle w:val="BodyText"/>
      </w:pPr>
      <w:r>
        <w:rPr/>
        <w:t>防安全职责：</w:t>
      </w:r>
    </w:p>
    <w:p>
      <w:pPr>
        <w:pStyle w:val="BodyText"/>
        <w:spacing w:line="345" w:lineRule="auto" w:before="131"/>
        <w:ind w:right="230" w:firstLine="456"/>
      </w:pPr>
      <w:r>
        <w:rPr>
          <w:spacing w:val="-16"/>
        </w:rPr>
        <w:t>(一)落实消防安全责任制，制定本单位的消防安全制度、消</w:t>
      </w:r>
      <w:r>
        <w:rPr>
          <w:spacing w:val="-12"/>
        </w:rPr>
        <w:t>防安全操作规程，制定灭火和应急疏散预案；</w:t>
      </w:r>
    </w:p>
    <w:p>
      <w:pPr>
        <w:pStyle w:val="BodyText"/>
        <w:spacing w:line="343" w:lineRule="auto"/>
        <w:ind w:right="230" w:firstLine="456"/>
      </w:pPr>
      <w:r>
        <w:rPr>
          <w:spacing w:val="-17"/>
        </w:rPr>
        <w:t>(二)按照国家标准、行业标准配置消防设施、器材，设置消</w:t>
      </w:r>
      <w:r>
        <w:rPr>
          <w:spacing w:val="-12"/>
        </w:rPr>
        <w:t>防安全标志，并定期组织检验、维修，确保完好有效；</w:t>
      </w:r>
    </w:p>
    <w:p>
      <w:pPr>
        <w:pStyle w:val="BodyText"/>
        <w:spacing w:line="343" w:lineRule="auto"/>
        <w:ind w:right="239" w:firstLine="456"/>
      </w:pPr>
      <w:r>
        <w:rPr>
          <w:spacing w:val="-15"/>
        </w:rPr>
        <w:t>(三)对建筑消防设施每年至少进行一次全面检测，确保完好</w:t>
      </w:r>
      <w:r>
        <w:rPr>
          <w:spacing w:val="-12"/>
        </w:rPr>
        <w:t>有效，检测记录应当完整准确，存档备查；</w:t>
      </w:r>
    </w:p>
    <w:p>
      <w:pPr>
        <w:spacing w:after="0" w:line="343" w:lineRule="auto"/>
        <w:sectPr>
          <w:pgSz w:w="8400" w:h="11910"/>
          <w:pgMar w:header="0" w:footer="870" w:top="1100" w:bottom="1060" w:left="820" w:right="780"/>
        </w:sectPr>
      </w:pPr>
    </w:p>
    <w:p>
      <w:pPr>
        <w:pStyle w:val="BodyText"/>
        <w:spacing w:line="345" w:lineRule="auto" w:before="161"/>
        <w:ind w:right="230" w:firstLine="456"/>
      </w:pPr>
      <w:r>
        <w:rPr>
          <w:spacing w:val="-17"/>
        </w:rPr>
        <w:t>(四)保障疏散通道、安全出口、消防车通道畅通，保证防火</w:t>
      </w:r>
      <w:r>
        <w:rPr>
          <w:spacing w:val="-12"/>
        </w:rPr>
        <w:t>防烟分区、防火间距符合消防技术标准；</w:t>
      </w:r>
    </w:p>
    <w:p>
      <w:pPr>
        <w:pStyle w:val="BodyText"/>
        <w:spacing w:line="343" w:lineRule="auto"/>
        <w:ind w:left="656" w:right="1983"/>
      </w:pPr>
      <w:r>
        <w:rPr>
          <w:spacing w:val="-13"/>
        </w:rPr>
        <w:t>(五)组织防火检查，及时消除火灾隐患； </w:t>
      </w:r>
      <w:r>
        <w:rPr>
          <w:spacing w:val="-12"/>
        </w:rPr>
        <w:t>(六)组织进行有针对性的消防演练；</w:t>
      </w:r>
    </w:p>
    <w:p>
      <w:pPr>
        <w:pStyle w:val="BodyText"/>
        <w:spacing w:line="343" w:lineRule="auto"/>
        <w:ind w:right="1802" w:firstLine="456"/>
      </w:pPr>
      <w:r>
        <w:rPr>
          <w:spacing w:val="-13"/>
        </w:rPr>
        <w:t>(七)法律、法规规定的其他消防安全职责。单位的主要负责人是本单位的消防安全责任人。</w:t>
      </w:r>
    </w:p>
    <w:p>
      <w:pPr>
        <w:pStyle w:val="BodyText"/>
        <w:spacing w:line="343" w:lineRule="auto"/>
        <w:ind w:right="229" w:firstLine="456"/>
        <w:jc w:val="both"/>
      </w:pPr>
      <w:r>
        <w:rPr>
          <w:spacing w:val="-10"/>
        </w:rPr>
        <w:t>第十七条 县级以上地方人民政府消防救援机构应当将发生</w:t>
      </w:r>
      <w:r>
        <w:rPr>
          <w:spacing w:val="-5"/>
        </w:rPr>
        <w:t>火灾可能性较大以及发生火灾可能造成重大的人身伤亡或者财</w:t>
      </w:r>
      <w:r>
        <w:rPr>
          <w:spacing w:val="-18"/>
        </w:rPr>
        <w:t>产损失的单位，确定为本行政区域内的消防安全重点单位，并由</w:t>
      </w:r>
      <w:r>
        <w:rPr>
          <w:spacing w:val="-12"/>
        </w:rPr>
        <w:t>应急管理部门报本级人民政府备案。</w:t>
      </w:r>
    </w:p>
    <w:p>
      <w:pPr>
        <w:pStyle w:val="BodyText"/>
        <w:spacing w:line="343" w:lineRule="auto"/>
        <w:ind w:right="239"/>
      </w:pPr>
      <w:r>
        <w:rPr>
          <w:spacing w:val="-15"/>
        </w:rPr>
        <w:t>消防安全重点单位除应当履行本法第十六条规定的职责外，还应</w:t>
      </w:r>
      <w:r>
        <w:rPr>
          <w:spacing w:val="-12"/>
        </w:rPr>
        <w:t>当履行下列消防安全职责：</w:t>
      </w:r>
    </w:p>
    <w:p>
      <w:pPr>
        <w:pStyle w:val="BodyText"/>
        <w:spacing w:line="345" w:lineRule="auto"/>
        <w:ind w:right="239" w:firstLine="456"/>
      </w:pPr>
      <w:r>
        <w:rPr>
          <w:spacing w:val="-17"/>
        </w:rPr>
        <w:t>(一)确定消防安全管理人，组织实施本单位的消防安全管理</w:t>
      </w:r>
      <w:r>
        <w:rPr>
          <w:spacing w:val="-12"/>
        </w:rPr>
        <w:t>工作；</w:t>
      </w:r>
    </w:p>
    <w:p>
      <w:pPr>
        <w:pStyle w:val="BodyText"/>
        <w:spacing w:line="343" w:lineRule="auto"/>
        <w:ind w:right="230" w:firstLine="456"/>
      </w:pPr>
      <w:r>
        <w:rPr>
          <w:spacing w:val="-6"/>
        </w:rPr>
        <w:t>(二)建立消防档案，确定消防安全重点部位，设置防火标</w:t>
      </w:r>
      <w:r>
        <w:rPr>
          <w:spacing w:val="-12"/>
        </w:rPr>
        <w:t>志，实行严格管理；</w:t>
      </w:r>
    </w:p>
    <w:p>
      <w:pPr>
        <w:pStyle w:val="BodyText"/>
        <w:ind w:left="656"/>
      </w:pPr>
      <w:r>
        <w:rPr/>
        <w:t>(三)实行每日防火巡查，并建立巡查记录；</w:t>
      </w:r>
    </w:p>
    <w:p>
      <w:pPr>
        <w:pStyle w:val="BodyText"/>
        <w:spacing w:line="343" w:lineRule="auto" w:before="126"/>
        <w:ind w:right="239" w:firstLine="456"/>
      </w:pPr>
      <w:r>
        <w:rPr>
          <w:spacing w:val="-16"/>
        </w:rPr>
        <w:t>(四)对职工进行岗前消防安全培训，定期组织消防安全培训</w:t>
      </w:r>
      <w:r>
        <w:rPr>
          <w:spacing w:val="-12"/>
        </w:rPr>
        <w:t>和消防演练。</w:t>
      </w:r>
    </w:p>
    <w:p>
      <w:pPr>
        <w:pStyle w:val="BodyText"/>
        <w:spacing w:line="343" w:lineRule="auto" w:before="2"/>
        <w:ind w:right="206" w:firstLine="456"/>
      </w:pPr>
      <w:r>
        <w:rPr>
          <w:spacing w:val="-10"/>
        </w:rPr>
        <w:t>第十八条 同一建筑物由两个以上单位管理或者使用的，应</w:t>
      </w:r>
      <w:r>
        <w:rPr>
          <w:spacing w:val="-13"/>
        </w:rPr>
        <w:t>当明确各方的消防安全责任，并确定责任人对共用的疏散通道、</w:t>
      </w:r>
    </w:p>
    <w:p>
      <w:pPr>
        <w:spacing w:after="0" w:line="343" w:lineRule="auto"/>
        <w:sectPr>
          <w:pgSz w:w="8400" w:h="11910"/>
          <w:pgMar w:header="0" w:footer="870" w:top="1100" w:bottom="1060" w:left="820" w:right="780"/>
        </w:sectPr>
      </w:pPr>
    </w:p>
    <w:p>
      <w:pPr>
        <w:pStyle w:val="BodyText"/>
        <w:spacing w:before="161"/>
      </w:pPr>
      <w:r>
        <w:rPr/>
        <w:t>安全出口、建筑消防设施和消防车通道进行统一管理。</w:t>
      </w:r>
    </w:p>
    <w:p>
      <w:pPr>
        <w:pStyle w:val="BodyText"/>
        <w:spacing w:line="343" w:lineRule="auto" w:before="134"/>
        <w:ind w:right="227" w:firstLine="456"/>
      </w:pPr>
      <w:r>
        <w:rPr>
          <w:spacing w:val="-5"/>
        </w:rPr>
        <w:t>住宅区的物业服务企业应当对管理区域内的共用消防设施</w:t>
      </w:r>
      <w:r>
        <w:rPr>
          <w:spacing w:val="-12"/>
        </w:rPr>
        <w:t>进行维护管理，提供消防安全防范服务。</w:t>
      </w:r>
    </w:p>
    <w:p>
      <w:pPr>
        <w:pStyle w:val="BodyText"/>
        <w:spacing w:line="343" w:lineRule="auto"/>
        <w:ind w:right="229" w:firstLine="456"/>
        <w:jc w:val="both"/>
      </w:pPr>
      <w:r>
        <w:rPr>
          <w:spacing w:val="-10"/>
        </w:rPr>
        <w:t>第十九条 生产、储存、经营易燃易爆危险品的场所不得与</w:t>
      </w:r>
      <w:r>
        <w:rPr>
          <w:spacing w:val="-5"/>
        </w:rPr>
        <w:t>居住场所设置在同一建筑物内，并应当与居住场所保持安全距</w:t>
      </w:r>
      <w:r>
        <w:rPr>
          <w:spacing w:val="-12"/>
        </w:rPr>
        <w:t>离。</w:t>
      </w:r>
    </w:p>
    <w:p>
      <w:pPr>
        <w:pStyle w:val="BodyText"/>
        <w:spacing w:line="345" w:lineRule="auto"/>
        <w:ind w:right="227" w:firstLine="456"/>
      </w:pPr>
      <w:r>
        <w:rPr>
          <w:spacing w:val="-19"/>
        </w:rPr>
        <w:t>生产、储存、经营其他物品的场所与居住场所设置在同一建</w:t>
      </w:r>
      <w:r>
        <w:rPr>
          <w:spacing w:val="-12"/>
        </w:rPr>
        <w:t>筑物内的，应当符合国家工程建设消防技术标准。</w:t>
      </w:r>
    </w:p>
    <w:p>
      <w:pPr>
        <w:pStyle w:val="BodyText"/>
        <w:spacing w:line="343" w:lineRule="auto"/>
        <w:ind w:right="227" w:firstLine="456"/>
        <w:jc w:val="both"/>
      </w:pPr>
      <w:r>
        <w:rPr>
          <w:spacing w:val="-10"/>
        </w:rPr>
        <w:t>第二十条 举办大型群众性活动，承办人应当依法向公安机</w:t>
      </w:r>
      <w:r>
        <w:rPr>
          <w:spacing w:val="-17"/>
        </w:rPr>
        <w:t>关申请安全许可，制定灭火和应急疏散预案并组织演练，明确消防安全责任分工，确定消防安全管理人员，保持消防设施和消防器材配置齐全、完好有效，保证疏散通道、安全出口、疏散指示</w:t>
      </w:r>
      <w:r>
        <w:rPr>
          <w:spacing w:val="-12"/>
        </w:rPr>
        <w:t>标志、应急照明和消防车通道符合消防技术标准和管理规定。</w:t>
      </w:r>
    </w:p>
    <w:p>
      <w:pPr>
        <w:pStyle w:val="BodyText"/>
        <w:spacing w:line="343" w:lineRule="auto"/>
        <w:ind w:right="228" w:firstLine="456"/>
        <w:jc w:val="both"/>
      </w:pPr>
      <w:r>
        <w:rPr>
          <w:spacing w:val="-10"/>
        </w:rPr>
        <w:t>第二十一条 禁止在具有火灾、爆炸危险的场所吸烟、使用</w:t>
      </w:r>
      <w:r>
        <w:rPr>
          <w:spacing w:val="-11"/>
        </w:rPr>
        <w:t>明火。因施工等特殊情况需要使用明火作业的，应当按照规 定</w:t>
      </w:r>
      <w:r>
        <w:rPr>
          <w:spacing w:val="-17"/>
        </w:rPr>
        <w:t>事先办理审批手续，采取相应的消防安全措施；作业人员应当遵守消防安全规定。</w:t>
      </w:r>
    </w:p>
    <w:p>
      <w:pPr>
        <w:pStyle w:val="BodyText"/>
        <w:spacing w:line="343" w:lineRule="auto"/>
        <w:ind w:right="239" w:firstLine="456"/>
      </w:pPr>
      <w:r>
        <w:rPr>
          <w:spacing w:val="-19"/>
        </w:rPr>
        <w:t>进行电焊、气焊等具有火灾危险作业的人员和自动消防系统</w:t>
      </w:r>
      <w:r>
        <w:rPr>
          <w:spacing w:val="-12"/>
        </w:rPr>
        <w:t>的操作人员，必须持证上岗，并遵守消防安全操作规程。</w:t>
      </w:r>
    </w:p>
    <w:p>
      <w:pPr>
        <w:pStyle w:val="BodyText"/>
        <w:spacing w:line="343" w:lineRule="auto"/>
        <w:ind w:right="229" w:firstLine="456"/>
      </w:pPr>
      <w:r>
        <w:rPr>
          <w:spacing w:val="-10"/>
        </w:rPr>
        <w:t>第二十二条 生产、储存、装卸易燃易爆危险品的工厂、仓</w:t>
      </w:r>
      <w:r>
        <w:rPr>
          <w:spacing w:val="-18"/>
        </w:rPr>
        <w:t>库和专用车站、码头的设置，应当符合消防技术标准。易燃易爆</w:t>
      </w:r>
    </w:p>
    <w:p>
      <w:pPr>
        <w:spacing w:after="0" w:line="343" w:lineRule="auto"/>
        <w:sectPr>
          <w:pgSz w:w="8400" w:h="11910"/>
          <w:pgMar w:header="0" w:footer="870" w:top="1100" w:bottom="1060" w:left="820" w:right="780"/>
        </w:sectPr>
      </w:pPr>
    </w:p>
    <w:p>
      <w:pPr>
        <w:pStyle w:val="BodyText"/>
        <w:spacing w:line="345" w:lineRule="auto" w:before="161"/>
        <w:ind w:right="239"/>
      </w:pPr>
      <w:r>
        <w:rPr>
          <w:spacing w:val="-18"/>
        </w:rPr>
        <w:t>气体和液体充装站、供应站、调压站，应当设置在符合消防安全</w:t>
      </w:r>
      <w:r>
        <w:rPr>
          <w:spacing w:val="-12"/>
        </w:rPr>
        <w:t>要求的位置，并符合防火防爆要求。</w:t>
      </w:r>
    </w:p>
    <w:p>
      <w:pPr>
        <w:pStyle w:val="BodyText"/>
        <w:spacing w:line="343" w:lineRule="auto"/>
        <w:ind w:right="230" w:firstLine="456"/>
        <w:jc w:val="both"/>
      </w:pPr>
      <w:r>
        <w:rPr>
          <w:spacing w:val="-18"/>
        </w:rPr>
        <w:t>已经设置的生产、储存、装卸易燃易爆危险品工厂、仓库和</w:t>
      </w:r>
      <w:r>
        <w:rPr>
          <w:spacing w:val="-17"/>
        </w:rPr>
        <w:t>专用车站、码头，易燃易爆气体和液体的充装站、供应站、调压</w:t>
      </w:r>
      <w:r>
        <w:rPr>
          <w:spacing w:val="-18"/>
        </w:rPr>
        <w:t>站，不再符合前款规定的，地方人民政府应当组织、协调有关部</w:t>
      </w:r>
      <w:r>
        <w:rPr>
          <w:spacing w:val="-12"/>
        </w:rPr>
        <w:t>门、单位限期解决，消除安全隐患。</w:t>
      </w:r>
    </w:p>
    <w:p>
      <w:pPr>
        <w:pStyle w:val="BodyText"/>
        <w:spacing w:line="345" w:lineRule="auto"/>
        <w:ind w:right="227" w:firstLine="456"/>
      </w:pPr>
      <w:r>
        <w:rPr>
          <w:spacing w:val="-17"/>
        </w:rPr>
        <w:t>第二十三条生产、储存、运输、销售、使用、销毁易燃易爆</w:t>
      </w:r>
      <w:r>
        <w:rPr>
          <w:spacing w:val="-12"/>
        </w:rPr>
        <w:t>危险品，必须执行消防技术标准和管理规定。</w:t>
      </w:r>
    </w:p>
    <w:p>
      <w:pPr>
        <w:pStyle w:val="BodyText"/>
        <w:spacing w:line="343" w:lineRule="auto"/>
        <w:ind w:right="227" w:firstLine="456"/>
        <w:jc w:val="both"/>
      </w:pPr>
      <w:r>
        <w:rPr>
          <w:spacing w:val="-19"/>
        </w:rPr>
        <w:t>进入生产、储存易燃易爆危险品的场所，必须执行消防安全</w:t>
      </w:r>
      <w:r>
        <w:rPr>
          <w:spacing w:val="-18"/>
        </w:rPr>
        <w:t>规定。禁止非法携带易燃易爆危险品进入公共场所或者乘坐公共</w:t>
      </w:r>
      <w:r>
        <w:rPr>
          <w:spacing w:val="-12"/>
        </w:rPr>
        <w:t>交通工具。</w:t>
      </w:r>
    </w:p>
    <w:p>
      <w:pPr>
        <w:pStyle w:val="BodyText"/>
        <w:spacing w:line="343" w:lineRule="auto"/>
        <w:ind w:right="239" w:firstLine="456"/>
      </w:pPr>
      <w:r>
        <w:rPr>
          <w:spacing w:val="-17"/>
        </w:rPr>
        <w:t>储存可燃物资仓库的管理，必须执行消防技术标准和管理规</w:t>
      </w:r>
      <w:r>
        <w:rPr>
          <w:spacing w:val="-12"/>
        </w:rPr>
        <w:t>定。</w:t>
      </w:r>
    </w:p>
    <w:p>
      <w:pPr>
        <w:pStyle w:val="BodyText"/>
        <w:spacing w:line="343" w:lineRule="auto"/>
        <w:ind w:right="227" w:firstLine="456"/>
        <w:jc w:val="both"/>
      </w:pPr>
      <w:r>
        <w:rPr>
          <w:spacing w:val="-1"/>
        </w:rPr>
        <w:t>第二十四条 消防产品必须符合国家标准；没有国家标准</w:t>
      </w:r>
      <w:r>
        <w:rPr>
          <w:spacing w:val="-18"/>
        </w:rPr>
        <w:t>的，必须符合行业标准。禁止生产、销售或者使用不合格的消防</w:t>
      </w:r>
      <w:r>
        <w:rPr>
          <w:spacing w:val="-12"/>
        </w:rPr>
        <w:t>产品以及国家明令淘汰的消防产品。</w:t>
      </w:r>
    </w:p>
    <w:p>
      <w:pPr>
        <w:pStyle w:val="BodyText"/>
        <w:spacing w:line="343" w:lineRule="auto"/>
        <w:ind w:right="228" w:firstLine="456"/>
        <w:jc w:val="both"/>
      </w:pPr>
      <w:r>
        <w:rPr>
          <w:spacing w:val="-15"/>
        </w:rPr>
        <w:t>依法实行强制性产品认证的消防产品，由具有法定资质的认</w:t>
      </w:r>
      <w:r>
        <w:rPr>
          <w:spacing w:val="-19"/>
        </w:rPr>
        <w:t>证机构按照国家标准、行业标准的强制性要求认证合格后，方可</w:t>
      </w:r>
      <w:r>
        <w:rPr>
          <w:spacing w:val="-11"/>
        </w:rPr>
        <w:t>生产、销售、使用。实行强制性产品认证的消防产品目 录，由</w:t>
      </w:r>
      <w:r>
        <w:rPr>
          <w:spacing w:val="-1"/>
        </w:rPr>
        <w:t>国务院产品质量监督部门会同国务院应急管理部门制定 并公</w:t>
      </w:r>
      <w:r>
        <w:rPr>
          <w:spacing w:val="-12"/>
        </w:rPr>
        <w:t>布。</w:t>
      </w:r>
    </w:p>
    <w:p>
      <w:pPr>
        <w:spacing w:after="0" w:line="343" w:lineRule="auto"/>
        <w:jc w:val="both"/>
        <w:sectPr>
          <w:pgSz w:w="8400" w:h="11910"/>
          <w:pgMar w:header="0" w:footer="870" w:top="1100" w:bottom="1060" w:left="820" w:right="780"/>
        </w:sectPr>
      </w:pPr>
    </w:p>
    <w:p>
      <w:pPr>
        <w:pStyle w:val="BodyText"/>
        <w:spacing w:line="343" w:lineRule="auto" w:before="161"/>
        <w:ind w:right="206" w:firstLine="456"/>
        <w:jc w:val="right"/>
      </w:pPr>
      <w:r>
        <w:rPr>
          <w:spacing w:val="-16"/>
        </w:rPr>
        <w:t>新研制的尚未制定国家标准、行业标准的消防产品，应当按</w:t>
      </w:r>
      <w:r>
        <w:rPr>
          <w:spacing w:val="-5"/>
        </w:rPr>
        <w:t>照国务院产品质量监督部门会同国务院应急管理部门规定的办</w:t>
      </w:r>
      <w:r>
        <w:rPr>
          <w:spacing w:val="-13"/>
        </w:rPr>
        <w:t>法，经技术鉴定符合消防安全要求的，方可生产、销售、使用。</w:t>
      </w:r>
      <w:r>
        <w:rPr>
          <w:spacing w:val="-5"/>
        </w:rPr>
        <w:t>依照本条规定经强制性产品认证合格或者技术鉴定合格的</w:t>
      </w:r>
    </w:p>
    <w:p>
      <w:pPr>
        <w:pStyle w:val="BodyText"/>
        <w:spacing w:before="3"/>
      </w:pPr>
      <w:r>
        <w:rPr/>
        <w:t>消防产品，国务院应急管理部门应当予以公布。</w:t>
      </w:r>
    </w:p>
    <w:p>
      <w:pPr>
        <w:pStyle w:val="BodyText"/>
        <w:spacing w:line="343" w:lineRule="auto" w:before="131"/>
        <w:ind w:right="229" w:firstLine="456"/>
        <w:jc w:val="both"/>
      </w:pPr>
      <w:r>
        <w:rPr>
          <w:spacing w:val="-10"/>
        </w:rPr>
        <w:t>第二十五条 产品质量监督部门、工商行政管理部门、消防</w:t>
      </w:r>
      <w:r>
        <w:rPr>
          <w:spacing w:val="-13"/>
        </w:rPr>
        <w:t>救援机构应当按照各自职责加强对消防产品质量的监督 检查。</w:t>
      </w:r>
    </w:p>
    <w:p>
      <w:pPr>
        <w:pStyle w:val="BodyText"/>
        <w:spacing w:line="343" w:lineRule="auto" w:before="2"/>
        <w:ind w:right="238" w:firstLine="456"/>
        <w:jc w:val="both"/>
      </w:pPr>
      <w:r>
        <w:rPr>
          <w:spacing w:val="-10"/>
        </w:rPr>
        <w:t>第二十六条 建筑构件、建筑材料和室内装修、装饰材料的</w:t>
      </w:r>
      <w:r>
        <w:rPr>
          <w:spacing w:val="-17"/>
        </w:rPr>
        <w:t>防火性能必须符合国家标准；没有国家标准的，必须符合行业标</w:t>
      </w:r>
      <w:r>
        <w:rPr>
          <w:spacing w:val="-12"/>
        </w:rPr>
        <w:t>准。</w:t>
      </w:r>
    </w:p>
    <w:p>
      <w:pPr>
        <w:pStyle w:val="BodyText"/>
        <w:spacing w:line="343" w:lineRule="auto" w:before="1"/>
        <w:ind w:right="240" w:firstLine="456"/>
      </w:pPr>
      <w:r>
        <w:rPr>
          <w:spacing w:val="-17"/>
        </w:rPr>
        <w:t>人员密集场所室内装修、装饰，应当按照消防技术标准的要</w:t>
      </w:r>
      <w:r>
        <w:rPr>
          <w:spacing w:val="-12"/>
        </w:rPr>
        <w:t>求，使用不燃、难燃材料。</w:t>
      </w:r>
    </w:p>
    <w:p>
      <w:pPr>
        <w:pStyle w:val="BodyText"/>
        <w:spacing w:line="345" w:lineRule="auto"/>
        <w:ind w:right="229" w:firstLine="456"/>
      </w:pPr>
      <w:r>
        <w:rPr>
          <w:spacing w:val="-10"/>
        </w:rPr>
        <w:t>第二十七条 电器产品、燃气用具的产品标准，应当符合消</w:t>
      </w:r>
      <w:r>
        <w:rPr>
          <w:spacing w:val="-12"/>
        </w:rPr>
        <w:t>防安全的要求。</w:t>
      </w:r>
    </w:p>
    <w:p>
      <w:pPr>
        <w:pStyle w:val="BodyText"/>
        <w:spacing w:line="343" w:lineRule="auto"/>
        <w:ind w:right="172"/>
      </w:pPr>
      <w:r>
        <w:rPr>
          <w:spacing w:val="-28"/>
        </w:rPr>
        <w:t>电器产品、燃气用具的安装、使用及其线路、管路的设计、敷设、维护保养、检测，必须符合消防技术标准和管理规定。</w:t>
      </w:r>
    </w:p>
    <w:p>
      <w:pPr>
        <w:pStyle w:val="BodyText"/>
        <w:spacing w:line="343" w:lineRule="auto"/>
        <w:ind w:right="172" w:firstLine="456"/>
        <w:jc w:val="both"/>
      </w:pPr>
      <w:r>
        <w:rPr>
          <w:spacing w:val="-21"/>
        </w:rPr>
        <w:t>第二十八条 任何单位、个人不得损坏、挪用或者擅自拆除、</w:t>
      </w:r>
      <w:r>
        <w:rPr>
          <w:spacing w:val="-17"/>
        </w:rPr>
        <w:t>停用消防设施、器材，不得埋压、圈占、遮挡消火栓或者占用防火间距，不得占用、堵塞、封闭疏散通道、安全出口、消防车通</w:t>
      </w:r>
      <w:r>
        <w:rPr>
          <w:spacing w:val="-5"/>
        </w:rPr>
        <w:t>道。人员密集场所的门窗不得设置影响逃生和灭火救援的障碍</w:t>
      </w:r>
      <w:r>
        <w:rPr>
          <w:spacing w:val="-12"/>
        </w:rPr>
        <w:t>物。</w:t>
      </w:r>
    </w:p>
    <w:p>
      <w:pPr>
        <w:spacing w:after="0" w:line="343" w:lineRule="auto"/>
        <w:jc w:val="both"/>
        <w:sectPr>
          <w:pgSz w:w="8400" w:h="11910"/>
          <w:pgMar w:header="0" w:footer="870" w:top="1100" w:bottom="1060" w:left="820" w:right="780"/>
        </w:sectPr>
      </w:pPr>
    </w:p>
    <w:p>
      <w:pPr>
        <w:pStyle w:val="BodyText"/>
        <w:spacing w:line="343" w:lineRule="auto" w:before="161"/>
        <w:ind w:right="206" w:firstLine="456"/>
        <w:jc w:val="both"/>
      </w:pPr>
      <w:r>
        <w:rPr>
          <w:spacing w:val="-10"/>
        </w:rPr>
        <w:t>第二十九条 负责公共消防设施维护管理的单位，应当保持</w:t>
      </w:r>
      <w:r>
        <w:rPr>
          <w:spacing w:val="-13"/>
        </w:rPr>
        <w:t>消防供水、消防通信、消防车通道等公共消防设施的完好有效。</w:t>
      </w:r>
      <w:r>
        <w:rPr>
          <w:spacing w:val="-17"/>
        </w:rPr>
        <w:t>在修建道路以及停电、停水、截断通信线路时有可能影响消防队灭火救援的，有关单位必须事先通知当地消防救援机构。</w:t>
      </w:r>
    </w:p>
    <w:p>
      <w:pPr>
        <w:pStyle w:val="BodyText"/>
        <w:spacing w:line="343" w:lineRule="auto" w:before="3"/>
        <w:ind w:right="227" w:firstLine="456"/>
        <w:jc w:val="both"/>
      </w:pPr>
      <w:r>
        <w:rPr>
          <w:spacing w:val="-10"/>
        </w:rPr>
        <w:t>第三十条 地方各级人民政府应当加强对农村消防工作的领</w:t>
      </w:r>
      <w:r>
        <w:rPr>
          <w:spacing w:val="-19"/>
        </w:rPr>
        <w:t>导，采取措施加强公共消防设施建设，组织建立和督促落实消防</w:t>
      </w:r>
      <w:r>
        <w:rPr>
          <w:spacing w:val="-12"/>
        </w:rPr>
        <w:t>安全责任制。</w:t>
      </w:r>
    </w:p>
    <w:p>
      <w:pPr>
        <w:pStyle w:val="BodyText"/>
        <w:spacing w:line="343" w:lineRule="auto" w:before="1"/>
        <w:ind w:right="206" w:firstLine="456"/>
        <w:jc w:val="right"/>
      </w:pPr>
      <w:r>
        <w:rPr>
          <w:spacing w:val="-10"/>
        </w:rPr>
        <w:t>第三十一条 在农业收获季节、森林和草原防火期间、重大</w:t>
      </w:r>
      <w:r>
        <w:rPr>
          <w:spacing w:val="-16"/>
        </w:rPr>
        <w:t>节假日期间以及火灾多发季节，地方各级人民政府应当组织开展</w:t>
      </w:r>
      <w:r>
        <w:rPr>
          <w:spacing w:val="-17"/>
        </w:rPr>
        <w:t>有针对性的消防宣传教育，采取防火措施，进行消防安全检查。</w:t>
      </w:r>
      <w:r>
        <w:rPr>
          <w:spacing w:val="-16"/>
        </w:rPr>
        <w:t>第三十二条乡镇人民政府、城市街道办事处应当指导、支持</w:t>
      </w:r>
    </w:p>
    <w:p>
      <w:pPr>
        <w:pStyle w:val="BodyText"/>
        <w:spacing w:line="343" w:lineRule="auto"/>
        <w:ind w:right="227"/>
        <w:jc w:val="both"/>
      </w:pPr>
      <w:r>
        <w:rPr>
          <w:spacing w:val="-17"/>
        </w:rPr>
        <w:t>和帮助村民委员会、居民委员会开展群众性的消防工作。村民委</w:t>
      </w:r>
      <w:r>
        <w:rPr>
          <w:spacing w:val="-19"/>
        </w:rPr>
        <w:t>员会、居民委员会应当确定消防安全管理人，组织制定防火安全</w:t>
      </w:r>
      <w:r>
        <w:rPr>
          <w:spacing w:val="-12"/>
        </w:rPr>
        <w:t>公约，进行防火安全检查。</w:t>
      </w:r>
    </w:p>
    <w:p>
      <w:pPr>
        <w:pStyle w:val="BodyText"/>
        <w:spacing w:line="343" w:lineRule="auto" w:before="2"/>
        <w:ind w:right="229" w:firstLine="456"/>
        <w:jc w:val="both"/>
      </w:pPr>
      <w:r>
        <w:rPr>
          <w:spacing w:val="-10"/>
        </w:rPr>
        <w:t>第三十三条 国家鼓励、引导公众聚集场所和生产、储存、</w:t>
      </w:r>
      <w:r>
        <w:rPr>
          <w:spacing w:val="-19"/>
        </w:rPr>
        <w:t>运输、销售易燃易爆危险品的企业投保火灾公众责任保险；鼓励</w:t>
      </w:r>
      <w:r>
        <w:rPr>
          <w:spacing w:val="-12"/>
        </w:rPr>
        <w:t>保险公司承保火灾公众责任保险。</w:t>
      </w:r>
    </w:p>
    <w:p>
      <w:pPr>
        <w:pStyle w:val="BodyText"/>
        <w:spacing w:line="343" w:lineRule="auto"/>
        <w:ind w:right="227" w:firstLine="456"/>
        <w:jc w:val="both"/>
      </w:pPr>
      <w:r>
        <w:rPr>
          <w:spacing w:val="-10"/>
        </w:rPr>
        <w:t>第三十四条 消防产品质量认证、消防设施检测、消防安全</w:t>
      </w:r>
      <w:r>
        <w:rPr>
          <w:spacing w:val="-5"/>
        </w:rPr>
        <w:t>监测等消防技术服务机构和执业人员，应当依法获得相应的资</w:t>
      </w:r>
      <w:r>
        <w:rPr>
          <w:spacing w:val="-17"/>
        </w:rPr>
        <w:t>质、资格；依照法律、行政法规、国家标准、行业标准和执业准</w:t>
      </w:r>
      <w:r>
        <w:rPr>
          <w:spacing w:val="-12"/>
        </w:rPr>
        <w:t>则，接受委托提供消防技术服务，并对服务质量负责。</w:t>
      </w:r>
    </w:p>
    <w:p>
      <w:pPr>
        <w:spacing w:after="0" w:line="343" w:lineRule="auto"/>
        <w:jc w:val="both"/>
        <w:sectPr>
          <w:pgSz w:w="8400" w:h="11910"/>
          <w:pgMar w:header="0" w:footer="870" w:top="1100" w:bottom="1060" w:left="820" w:right="780"/>
        </w:sectPr>
      </w:pPr>
    </w:p>
    <w:p>
      <w:pPr>
        <w:pStyle w:val="Heading2"/>
        <w:tabs>
          <w:tab w:pos="1125" w:val="left" w:leader="none"/>
        </w:tabs>
        <w:spacing w:before="121"/>
        <w:ind w:right="40"/>
      </w:pPr>
      <w:r>
        <w:rPr/>
        <w:t>第三章</w:t>
        <w:tab/>
        <w:t>消防组织</w:t>
      </w:r>
    </w:p>
    <w:p>
      <w:pPr>
        <w:pStyle w:val="BodyText"/>
        <w:spacing w:line="343" w:lineRule="auto" w:before="243"/>
        <w:ind w:right="229" w:firstLine="456"/>
        <w:jc w:val="both"/>
      </w:pPr>
      <w:r>
        <w:rPr>
          <w:spacing w:val="-10"/>
        </w:rPr>
        <w:t>第三十五条 各级人民政府应当加强消防组织建设，根据经</w:t>
      </w:r>
      <w:r>
        <w:rPr>
          <w:spacing w:val="-17"/>
        </w:rPr>
        <w:t>济社会发展的需要，建立多种形式的消防组织，加强消防技术人才培养，增强火灾预防、扑救和应急救援的能力。</w:t>
      </w:r>
    </w:p>
    <w:p>
      <w:pPr>
        <w:pStyle w:val="BodyText"/>
        <w:spacing w:line="343" w:lineRule="auto" w:before="1"/>
        <w:ind w:right="229" w:firstLine="456"/>
        <w:jc w:val="both"/>
      </w:pPr>
      <w:r>
        <w:rPr>
          <w:spacing w:val="-10"/>
        </w:rPr>
        <w:t>第三十六条 县级以上地方人民政府应当按照国家规定建立</w:t>
      </w:r>
      <w:r>
        <w:rPr>
          <w:spacing w:val="-16"/>
        </w:rPr>
        <w:t>国家综合性消防救援队、专职消防队，并按照国家标准配备消防装备，承担火灾扑救工作。</w:t>
      </w:r>
    </w:p>
    <w:p>
      <w:pPr>
        <w:pStyle w:val="BodyText"/>
        <w:spacing w:line="343" w:lineRule="auto" w:before="1"/>
        <w:ind w:right="230" w:firstLine="456"/>
      </w:pPr>
      <w:r>
        <w:rPr/>
        <w:t>乡镇人民政府应当根据当地的经济发展和消防工作的需要，建立专职消防队、志愿消防队，承担火灾扑救工作。</w:t>
      </w:r>
    </w:p>
    <w:p>
      <w:pPr>
        <w:pStyle w:val="BodyText"/>
        <w:spacing w:line="343" w:lineRule="auto"/>
        <w:ind w:right="229" w:firstLine="456"/>
        <w:jc w:val="both"/>
      </w:pPr>
      <w:r>
        <w:rPr>
          <w:spacing w:val="-10"/>
        </w:rPr>
        <w:t>第三十七条 国家综合性消防救援队、专职消防队按照国家</w:t>
      </w:r>
      <w:r>
        <w:rPr>
          <w:spacing w:val="-5"/>
        </w:rPr>
        <w:t>规定承担重大灾害事故和其他以抢救人员生命为主的应急救援</w:t>
      </w:r>
      <w:r>
        <w:rPr>
          <w:spacing w:val="-12"/>
        </w:rPr>
        <w:t>工作。</w:t>
      </w:r>
    </w:p>
    <w:p>
      <w:pPr>
        <w:pStyle w:val="BodyText"/>
        <w:spacing w:line="343" w:lineRule="auto"/>
        <w:ind w:right="206" w:firstLine="456"/>
        <w:jc w:val="both"/>
      </w:pPr>
      <w:r>
        <w:rPr>
          <w:spacing w:val="-10"/>
        </w:rPr>
        <w:t>第三十八条 国家综合性消防救援队、专职消防队应当充分</w:t>
      </w:r>
      <w:r>
        <w:rPr>
          <w:spacing w:val="-13"/>
        </w:rPr>
        <w:t>发挥火灾扑救和应急救援专业力量的骨干作用；按照国家规定， </w:t>
      </w:r>
      <w:r>
        <w:rPr>
          <w:spacing w:val="-16"/>
        </w:rPr>
        <w:t>组织实施专业技能训练，配备并维护保养装备器材，提高火灾扑救和应急救援的能力。</w:t>
      </w:r>
    </w:p>
    <w:p>
      <w:pPr>
        <w:pStyle w:val="BodyText"/>
        <w:spacing w:line="343" w:lineRule="auto" w:before="3"/>
        <w:ind w:right="229" w:firstLine="456"/>
        <w:jc w:val="both"/>
      </w:pPr>
      <w:r>
        <w:rPr>
          <w:spacing w:val="-10"/>
        </w:rPr>
        <w:t>第三十九条 下列单位应当建立单位专职消防队，承担本单</w:t>
      </w:r>
      <w:r>
        <w:rPr>
          <w:spacing w:val="-12"/>
        </w:rPr>
        <w:t>位的火灾扑救工作：</w:t>
      </w:r>
    </w:p>
    <w:p>
      <w:pPr>
        <w:pStyle w:val="BodyText"/>
        <w:spacing w:line="345" w:lineRule="auto"/>
        <w:ind w:left="656" w:right="206"/>
      </w:pPr>
      <w:r>
        <w:rPr>
          <w:spacing w:val="-13"/>
        </w:rPr>
        <w:t>(一)大型核设施单位、大型发电厂、民用机场、主要港口； </w:t>
      </w:r>
      <w:r>
        <w:rPr>
          <w:spacing w:val="-12"/>
        </w:rPr>
        <w:t>(二)生产、储存易燃易爆危险品的大型企业；</w:t>
      </w:r>
    </w:p>
    <w:p>
      <w:pPr>
        <w:pStyle w:val="BodyText"/>
        <w:spacing w:line="303" w:lineRule="exact"/>
        <w:ind w:left="656"/>
      </w:pPr>
      <w:r>
        <w:rPr>
          <w:spacing w:val="-12"/>
        </w:rPr>
        <w:t>(三)储备可燃的重要物资的大型仓库、基地；</w:t>
      </w:r>
    </w:p>
    <w:p>
      <w:pPr>
        <w:spacing w:after="0" w:line="303" w:lineRule="exact"/>
        <w:sectPr>
          <w:pgSz w:w="8400" w:h="11910"/>
          <w:pgMar w:header="0" w:footer="870" w:top="1100" w:bottom="1060" w:left="820" w:right="780"/>
        </w:sectPr>
      </w:pPr>
    </w:p>
    <w:p>
      <w:pPr>
        <w:pStyle w:val="BodyText"/>
        <w:spacing w:line="345" w:lineRule="auto" w:before="161"/>
        <w:ind w:right="206" w:firstLine="456"/>
      </w:pPr>
      <w:r>
        <w:rPr>
          <w:spacing w:val="-13"/>
        </w:rPr>
        <w:t>(四)第一项、第二项、第三项规定以外的火灾危险性较大、</w:t>
      </w:r>
      <w:r>
        <w:rPr>
          <w:spacing w:val="-12"/>
        </w:rPr>
        <w:t>距离国家综合性消防救援队较远的其他大型企业；</w:t>
      </w:r>
    </w:p>
    <w:p>
      <w:pPr>
        <w:pStyle w:val="BodyText"/>
        <w:spacing w:line="343" w:lineRule="auto"/>
        <w:ind w:right="239" w:firstLine="456"/>
      </w:pPr>
      <w:r>
        <w:rPr>
          <w:spacing w:val="-15"/>
        </w:rPr>
        <w:t>(五)距离国家综合性消防救援队较远、被列为全国重点文物</w:t>
      </w:r>
      <w:r>
        <w:rPr>
          <w:spacing w:val="-12"/>
        </w:rPr>
        <w:t>保护单位的古建筑群的管理单位。</w:t>
      </w:r>
    </w:p>
    <w:p>
      <w:pPr>
        <w:pStyle w:val="BodyText"/>
        <w:spacing w:line="343" w:lineRule="auto"/>
        <w:ind w:right="229" w:firstLine="456"/>
      </w:pPr>
      <w:r>
        <w:rPr>
          <w:spacing w:val="-10"/>
        </w:rPr>
        <w:t>第四十条 专职消防队的建立，应当符合国家有关规定，并</w:t>
      </w:r>
      <w:r>
        <w:rPr>
          <w:spacing w:val="-12"/>
        </w:rPr>
        <w:t>报当地消防救援机构验收。</w:t>
      </w:r>
    </w:p>
    <w:p>
      <w:pPr>
        <w:pStyle w:val="BodyText"/>
        <w:spacing w:line="307" w:lineRule="exact"/>
        <w:ind w:left="656"/>
      </w:pPr>
      <w:r>
        <w:rPr/>
        <w:t>专职消防队的队员依法享受社会保险和福利待遇。</w:t>
      </w:r>
    </w:p>
    <w:p>
      <w:pPr>
        <w:pStyle w:val="BodyText"/>
        <w:spacing w:line="343" w:lineRule="auto" w:before="131"/>
        <w:ind w:right="227" w:firstLine="456"/>
        <w:jc w:val="both"/>
      </w:pPr>
      <w:r>
        <w:rPr>
          <w:spacing w:val="-10"/>
        </w:rPr>
        <w:t>第四十一条 机关、团体、企业、事业等单位以及村民委员</w:t>
      </w:r>
      <w:r>
        <w:rPr>
          <w:spacing w:val="-19"/>
        </w:rPr>
        <w:t>会、居民委员会根据需要，建立志愿消防队等多种形式的消防组</w:t>
      </w:r>
      <w:r>
        <w:rPr>
          <w:spacing w:val="-13"/>
        </w:rPr>
        <w:t>织，开展群众性自防自救工作。</w:t>
      </w:r>
    </w:p>
    <w:p>
      <w:pPr>
        <w:pStyle w:val="BodyText"/>
        <w:spacing w:line="343" w:lineRule="auto"/>
        <w:ind w:right="229" w:firstLine="456"/>
        <w:jc w:val="both"/>
      </w:pPr>
      <w:r>
        <w:rPr>
          <w:spacing w:val="-10"/>
        </w:rPr>
        <w:t>第四十二条 消防救援机构应当对专职消防队、志愿消防队</w:t>
      </w:r>
      <w:r>
        <w:rPr>
          <w:spacing w:val="-16"/>
        </w:rPr>
        <w:t>等消防组织进行业务指导；根据扑救火灾的需要，可以调动指挥专职消防队参加火灾扑救工作。</w:t>
      </w:r>
    </w:p>
    <w:p>
      <w:pPr>
        <w:pStyle w:val="Heading2"/>
        <w:spacing w:before="82"/>
        <w:ind w:left="2322"/>
        <w:jc w:val="both"/>
      </w:pPr>
      <w:r>
        <w:rPr/>
        <w:t>第四章 灭火救援</w:t>
      </w:r>
    </w:p>
    <w:p>
      <w:pPr>
        <w:pStyle w:val="BodyText"/>
        <w:spacing w:line="343" w:lineRule="auto" w:before="240"/>
        <w:ind w:right="229" w:firstLine="456"/>
        <w:jc w:val="both"/>
      </w:pPr>
      <w:r>
        <w:rPr>
          <w:spacing w:val="-10"/>
        </w:rPr>
        <w:t>第四十三条 县级以上地方人民政府应当组织有关部门针对</w:t>
      </w:r>
      <w:r>
        <w:rPr>
          <w:spacing w:val="-14"/>
        </w:rPr>
        <w:t>本行政区域内的火灾特点制定应急预案，建立应急反应和处置机制，为火灾扑救和应急救援工作提供人员、装备等保障。</w:t>
      </w:r>
    </w:p>
    <w:p>
      <w:pPr>
        <w:pStyle w:val="BodyText"/>
        <w:spacing w:line="343" w:lineRule="auto" w:before="1"/>
        <w:ind w:right="170" w:firstLine="456"/>
        <w:jc w:val="right"/>
      </w:pPr>
      <w:r>
        <w:rPr>
          <w:spacing w:val="-10"/>
        </w:rPr>
        <w:t>第四十四条 任何人发现火灾都应当立即报警。任何单位、</w:t>
      </w:r>
      <w:r>
        <w:rPr>
          <w:spacing w:val="-24"/>
        </w:rPr>
        <w:t>个人都应当无偿为报警提供便利，不得阻拦报警。严禁谎报火警。</w:t>
      </w:r>
      <w:r>
        <w:rPr>
          <w:spacing w:val="-16"/>
        </w:rPr>
        <w:t>人员密集场所发生火灾，该场所的现场工作人员应当立即组</w:t>
      </w:r>
    </w:p>
    <w:p>
      <w:pPr>
        <w:pStyle w:val="BodyText"/>
        <w:spacing w:before="1"/>
      </w:pPr>
      <w:r>
        <w:rPr/>
        <w:t>织、引导在场人员疏散。</w:t>
      </w:r>
    </w:p>
    <w:p>
      <w:pPr>
        <w:spacing w:after="0"/>
        <w:sectPr>
          <w:pgSz w:w="8400" w:h="11910"/>
          <w:pgMar w:header="0" w:footer="870" w:top="1100" w:bottom="1060" w:left="820" w:right="780"/>
        </w:sectPr>
      </w:pPr>
    </w:p>
    <w:p>
      <w:pPr>
        <w:pStyle w:val="BodyText"/>
        <w:spacing w:line="345" w:lineRule="auto" w:before="161"/>
        <w:ind w:right="240" w:firstLine="456"/>
      </w:pPr>
      <w:r>
        <w:rPr>
          <w:spacing w:val="-18"/>
        </w:rPr>
        <w:t>任何单位发生火灾，必须立即组织力量扑救。邻近单位应当</w:t>
      </w:r>
      <w:r>
        <w:rPr>
          <w:spacing w:val="-12"/>
        </w:rPr>
        <w:t>给予支援。</w:t>
      </w:r>
    </w:p>
    <w:p>
      <w:pPr>
        <w:pStyle w:val="BodyText"/>
        <w:spacing w:line="343" w:lineRule="auto"/>
        <w:ind w:right="206" w:firstLine="456"/>
      </w:pPr>
      <w:r>
        <w:rPr>
          <w:spacing w:val="-13"/>
        </w:rPr>
        <w:t>消防队接到火警，必须立即赶赴火灾现场，救助遇险人员， </w:t>
      </w:r>
      <w:r>
        <w:rPr>
          <w:spacing w:val="-12"/>
        </w:rPr>
        <w:t>排除险情，扑灭火灾。</w:t>
      </w:r>
    </w:p>
    <w:p>
      <w:pPr>
        <w:pStyle w:val="BodyText"/>
        <w:spacing w:line="343" w:lineRule="auto"/>
        <w:ind w:right="229" w:firstLine="456"/>
      </w:pPr>
      <w:r>
        <w:rPr>
          <w:spacing w:val="-10"/>
        </w:rPr>
        <w:t>第四十五条 消防救援机构统一组织和指挥火灾现场扑救， </w:t>
      </w:r>
      <w:r>
        <w:rPr>
          <w:spacing w:val="-12"/>
        </w:rPr>
        <w:t>应当优先保障遇险人员的生命安全。</w:t>
      </w:r>
    </w:p>
    <w:p>
      <w:pPr>
        <w:pStyle w:val="BodyText"/>
        <w:spacing w:line="345" w:lineRule="auto"/>
        <w:ind w:left="656" w:right="206"/>
      </w:pPr>
      <w:r>
        <w:rPr>
          <w:spacing w:val="-13"/>
        </w:rPr>
        <w:t>火灾现场总指挥根据扑救火灾的需要，有权决定下列事项： </w:t>
      </w:r>
      <w:r>
        <w:rPr>
          <w:spacing w:val="-12"/>
        </w:rPr>
        <w:t>(一)使用各种水源；</w:t>
      </w:r>
    </w:p>
    <w:p>
      <w:pPr>
        <w:pStyle w:val="BodyText"/>
        <w:spacing w:line="343" w:lineRule="auto"/>
        <w:ind w:left="656" w:right="170"/>
      </w:pPr>
      <w:r>
        <w:rPr>
          <w:spacing w:val="-27"/>
        </w:rPr>
        <w:t>(二)截断电力、可燃气体和可燃液体的输送，限制用火用电； </w:t>
      </w:r>
      <w:r>
        <w:rPr>
          <w:spacing w:val="-12"/>
        </w:rPr>
        <w:t>(三)划定警戒区，实行局部交通管制；</w:t>
      </w:r>
    </w:p>
    <w:p>
      <w:pPr>
        <w:pStyle w:val="BodyText"/>
        <w:ind w:left="656"/>
      </w:pPr>
      <w:r>
        <w:rPr/>
        <w:t>(四)利用临近建筑物和有关设施；</w:t>
      </w:r>
    </w:p>
    <w:p>
      <w:pPr>
        <w:pStyle w:val="BodyText"/>
        <w:spacing w:line="343" w:lineRule="auto" w:before="124"/>
        <w:ind w:right="242" w:firstLine="456"/>
      </w:pPr>
      <w:r>
        <w:rPr>
          <w:spacing w:val="-17"/>
        </w:rPr>
        <w:t>(五)为了抢救人员和重要物资，防止火势蔓延，拆除或者破</w:t>
      </w:r>
      <w:r>
        <w:rPr>
          <w:spacing w:val="-12"/>
        </w:rPr>
        <w:t>损毗邻火灾现场的建筑物、构筑物或者设施等；</w:t>
      </w:r>
    </w:p>
    <w:p>
      <w:pPr>
        <w:pStyle w:val="BodyText"/>
        <w:spacing w:line="343" w:lineRule="auto" w:before="2"/>
        <w:ind w:right="206" w:firstLine="456"/>
      </w:pPr>
      <w:r>
        <w:rPr>
          <w:spacing w:val="-13"/>
        </w:rPr>
        <w:t>(六)调动供水、供电、供气、通信、医疗救护、交通运输、</w:t>
      </w:r>
      <w:r>
        <w:rPr>
          <w:spacing w:val="-12"/>
        </w:rPr>
        <w:t>环境保护等有关单位协助灭火救援。</w:t>
      </w:r>
    </w:p>
    <w:p>
      <w:pPr>
        <w:pStyle w:val="BodyText"/>
        <w:spacing w:line="345" w:lineRule="auto"/>
        <w:ind w:right="227" w:firstLine="456"/>
      </w:pPr>
      <w:r>
        <w:rPr>
          <w:spacing w:val="-5"/>
        </w:rPr>
        <w:t>根据扑救火灾的紧急需要，有关地方人民政府应当组织人</w:t>
      </w:r>
      <w:r>
        <w:rPr>
          <w:spacing w:val="-12"/>
        </w:rPr>
        <w:t>员、调集所需物资支援灭火。</w:t>
      </w:r>
    </w:p>
    <w:p>
      <w:pPr>
        <w:pStyle w:val="BodyText"/>
        <w:spacing w:line="343" w:lineRule="auto"/>
        <w:ind w:right="229" w:firstLine="456"/>
        <w:jc w:val="both"/>
      </w:pPr>
      <w:r>
        <w:rPr>
          <w:spacing w:val="-10"/>
        </w:rPr>
        <w:t>第四十六条 国家综合性消防救援队、专职消防队参加火灾</w:t>
      </w:r>
      <w:r>
        <w:rPr>
          <w:spacing w:val="-14"/>
        </w:rPr>
        <w:t>以外的其他重大灾害事故的应急救援工作，由县级以上人民政府统一领导。</w:t>
      </w:r>
    </w:p>
    <w:p>
      <w:pPr>
        <w:pStyle w:val="BodyText"/>
        <w:ind w:left="656"/>
        <w:jc w:val="both"/>
      </w:pPr>
      <w:r>
        <w:rPr/>
        <w:t>第四十七条 消防车、消防艇前往执行火灾扑救或者应急救</w:t>
      </w:r>
    </w:p>
    <w:p>
      <w:pPr>
        <w:spacing w:after="0"/>
        <w:jc w:val="both"/>
        <w:sectPr>
          <w:pgSz w:w="8400" w:h="11910"/>
          <w:pgMar w:header="0" w:footer="870" w:top="1100" w:bottom="1060" w:left="820" w:right="780"/>
        </w:sectPr>
      </w:pPr>
    </w:p>
    <w:p>
      <w:pPr>
        <w:pStyle w:val="BodyText"/>
        <w:spacing w:line="343" w:lineRule="auto" w:before="161"/>
        <w:ind w:right="227"/>
        <w:jc w:val="both"/>
      </w:pPr>
      <w:r>
        <w:rPr>
          <w:spacing w:val="-17"/>
        </w:rPr>
        <w:t>援任务，在确保安全的前提下，不受行驶速度、行驶路线、行驶方向和指挥信号的限制，其他车辆、船舶以及行人应当让行，不</w:t>
      </w:r>
      <w:r>
        <w:rPr>
          <w:spacing w:val="-18"/>
        </w:rPr>
        <w:t>得穿插超越；收费公路、桥梁免收车辆通行费。交通管理指挥人员应当保证消防车、消防艇迅速通行。</w:t>
      </w:r>
    </w:p>
    <w:p>
      <w:pPr>
        <w:pStyle w:val="BodyText"/>
        <w:spacing w:line="343" w:lineRule="auto" w:before="3"/>
        <w:ind w:right="227" w:firstLine="456"/>
        <w:jc w:val="both"/>
      </w:pPr>
      <w:r>
        <w:rPr>
          <w:spacing w:val="-5"/>
        </w:rPr>
        <w:t>赶赴火灾现场或者应急救援现场的消防人员和调集的消防</w:t>
      </w:r>
      <w:r>
        <w:rPr>
          <w:spacing w:val="-17"/>
        </w:rPr>
        <w:t>装备、物资，需要铁路、水路或者航空运输的，有关单位应当优</w:t>
      </w:r>
      <w:r>
        <w:rPr>
          <w:spacing w:val="-12"/>
        </w:rPr>
        <w:t>先运输。</w:t>
      </w:r>
    </w:p>
    <w:p>
      <w:pPr>
        <w:pStyle w:val="BodyText"/>
        <w:spacing w:line="343" w:lineRule="auto" w:before="1"/>
        <w:ind w:right="229" w:firstLine="456"/>
        <w:jc w:val="both"/>
      </w:pPr>
      <w:r>
        <w:rPr>
          <w:spacing w:val="-10"/>
        </w:rPr>
        <w:t>第四十八条 消防车、消防艇以及消防器材、装备和设施， </w:t>
      </w:r>
      <w:r>
        <w:rPr>
          <w:spacing w:val="-12"/>
        </w:rPr>
        <w:t>不得用于与消防和应急救援工作无关的事项。</w:t>
      </w:r>
    </w:p>
    <w:p>
      <w:pPr>
        <w:pStyle w:val="BodyText"/>
        <w:spacing w:line="345" w:lineRule="auto"/>
        <w:ind w:right="229" w:firstLine="456"/>
        <w:jc w:val="both"/>
      </w:pPr>
      <w:r>
        <w:rPr/>
        <w:t>第四十九条 国家综合性消防救援队、专职消防队扑救火灾、应急救援，不得收取任何费用。</w:t>
      </w:r>
    </w:p>
    <w:p>
      <w:pPr>
        <w:pStyle w:val="BodyText"/>
        <w:spacing w:line="343" w:lineRule="auto"/>
        <w:ind w:right="227" w:firstLine="456"/>
        <w:jc w:val="both"/>
      </w:pPr>
      <w:r>
        <w:rPr>
          <w:spacing w:val="-17"/>
        </w:rPr>
        <w:t>单位专职消防队、志愿消防队参加扑救外单位火灾所损耗的</w:t>
      </w:r>
      <w:r>
        <w:rPr>
          <w:spacing w:val="-18"/>
        </w:rPr>
        <w:t>燃料、灭火剂和器材、装备等，由火灾发生地的人民政府给予补</w:t>
      </w:r>
      <w:r>
        <w:rPr>
          <w:spacing w:val="-12"/>
        </w:rPr>
        <w:t>偿。</w:t>
      </w:r>
    </w:p>
    <w:p>
      <w:pPr>
        <w:pStyle w:val="BodyText"/>
        <w:spacing w:line="343" w:lineRule="auto"/>
        <w:ind w:right="228" w:firstLine="456"/>
        <w:jc w:val="both"/>
      </w:pPr>
      <w:r>
        <w:rPr>
          <w:spacing w:val="-10"/>
        </w:rPr>
        <w:t>第五十条 对因参加扑救火灾或者应急救援受伤、致残或者</w:t>
      </w:r>
      <w:r>
        <w:rPr>
          <w:spacing w:val="-12"/>
        </w:rPr>
        <w:t>死亡的人员，按照国家的有关规定给予医疗、抚恤。</w:t>
      </w:r>
    </w:p>
    <w:p>
      <w:pPr>
        <w:pStyle w:val="BodyText"/>
        <w:spacing w:line="343" w:lineRule="auto"/>
        <w:ind w:right="229" w:firstLine="456"/>
        <w:jc w:val="both"/>
      </w:pPr>
      <w:r>
        <w:rPr>
          <w:spacing w:val="-10"/>
        </w:rPr>
        <w:t>第五十一条 消防救援机构有权根据需要封闭火灾现场，负</w:t>
      </w:r>
      <w:r>
        <w:rPr>
          <w:spacing w:val="-12"/>
        </w:rPr>
        <w:t>责调查火灾原因，统计火灾损失。</w:t>
      </w:r>
    </w:p>
    <w:p>
      <w:pPr>
        <w:pStyle w:val="BodyText"/>
        <w:spacing w:line="343" w:lineRule="auto"/>
        <w:ind w:right="227" w:firstLine="456"/>
        <w:jc w:val="both"/>
      </w:pPr>
      <w:r>
        <w:rPr>
          <w:spacing w:val="-18"/>
        </w:rPr>
        <w:t>火灾扑灭后，发生火灾的单位和相关人员应当按照消防救援</w:t>
      </w:r>
      <w:r>
        <w:rPr>
          <w:spacing w:val="-17"/>
        </w:rPr>
        <w:t>机构的要求保护现场，接受事故调查，如实提供与火灾有关的情况。</w:t>
      </w:r>
    </w:p>
    <w:p>
      <w:pPr>
        <w:spacing w:after="0" w:line="343" w:lineRule="auto"/>
        <w:jc w:val="both"/>
        <w:sectPr>
          <w:pgSz w:w="8400" w:h="11910"/>
          <w:pgMar w:header="0" w:footer="870" w:top="1100" w:bottom="1060" w:left="820" w:right="780"/>
        </w:sectPr>
      </w:pPr>
    </w:p>
    <w:p>
      <w:pPr>
        <w:pStyle w:val="BodyText"/>
        <w:spacing w:line="345" w:lineRule="auto" w:before="161"/>
        <w:ind w:right="170" w:firstLine="456"/>
      </w:pPr>
      <w:r>
        <w:rPr>
          <w:spacing w:val="-12"/>
        </w:rPr>
        <w:t>消防救援机构根据火灾现场勘验、调查情况和有关的检验、</w:t>
      </w:r>
      <w:r>
        <w:rPr>
          <w:spacing w:val="-28"/>
        </w:rPr>
        <w:t>鉴定意见，及时制作火灾事故认定书，作为处理火灾事故的证据。</w:t>
      </w:r>
    </w:p>
    <w:p>
      <w:pPr>
        <w:pStyle w:val="Heading2"/>
        <w:spacing w:before="75"/>
        <w:ind w:left="2322"/>
        <w:jc w:val="left"/>
      </w:pPr>
      <w:r>
        <w:rPr/>
        <w:t>第五章 监督检查</w:t>
      </w:r>
    </w:p>
    <w:p>
      <w:pPr>
        <w:pStyle w:val="BodyText"/>
        <w:spacing w:line="343" w:lineRule="auto" w:before="241"/>
        <w:ind w:right="229" w:firstLine="456"/>
        <w:jc w:val="both"/>
      </w:pPr>
      <w:r>
        <w:rPr>
          <w:spacing w:val="-10"/>
        </w:rPr>
        <w:t>第五十二条 地方各级人民政府应当落实消防工作责任制， </w:t>
      </w:r>
      <w:r>
        <w:rPr>
          <w:spacing w:val="-5"/>
        </w:rPr>
        <w:t>对本级人民政府有关部门履行消防安全职责的情况进行监督检</w:t>
      </w:r>
      <w:r>
        <w:rPr>
          <w:spacing w:val="-12"/>
        </w:rPr>
        <w:t>查。</w:t>
      </w:r>
    </w:p>
    <w:p>
      <w:pPr>
        <w:pStyle w:val="BodyText"/>
        <w:spacing w:line="345" w:lineRule="auto" w:before="1"/>
        <w:ind w:right="227" w:firstLine="456"/>
      </w:pPr>
      <w:r>
        <w:rPr>
          <w:spacing w:val="-15"/>
        </w:rPr>
        <w:t>县级以上地方人民政府有关部门应当根据本系统的特点，有</w:t>
      </w:r>
      <w:r>
        <w:rPr>
          <w:spacing w:val="-12"/>
        </w:rPr>
        <w:t>针对性地开展消防安全检查，及时督促整改火灾隐患。</w:t>
      </w:r>
    </w:p>
    <w:p>
      <w:pPr>
        <w:pStyle w:val="BodyText"/>
        <w:spacing w:line="343" w:lineRule="auto"/>
        <w:ind w:right="229" w:firstLine="456"/>
        <w:jc w:val="both"/>
      </w:pPr>
      <w:r>
        <w:rPr>
          <w:spacing w:val="-10"/>
        </w:rPr>
        <w:t>第五十三条 消防救援机构应当对机关、团体、企业、事业</w:t>
      </w:r>
      <w:r>
        <w:rPr>
          <w:spacing w:val="-17"/>
        </w:rPr>
        <w:t>等单位遵守消防法律、法规的情况依法进行监督检查。公安派出</w:t>
      </w:r>
      <w:r>
        <w:rPr>
          <w:spacing w:val="-21"/>
        </w:rPr>
        <w:t>所可以负责日常消防监督检查、开展消防宣传教育，具体办法由国务院公安部门规定。</w:t>
      </w:r>
    </w:p>
    <w:p>
      <w:pPr>
        <w:pStyle w:val="BodyText"/>
        <w:spacing w:line="345" w:lineRule="auto"/>
        <w:ind w:right="206" w:firstLine="456"/>
      </w:pPr>
      <w:r>
        <w:rPr>
          <w:spacing w:val="-13"/>
        </w:rPr>
        <w:t>消防救援机构、公安派出所的工作人员进行消防监督检查， </w:t>
      </w:r>
      <w:r>
        <w:rPr>
          <w:spacing w:val="-12"/>
        </w:rPr>
        <w:t>应当出示证件。</w:t>
      </w:r>
    </w:p>
    <w:p>
      <w:pPr>
        <w:pStyle w:val="BodyText"/>
        <w:spacing w:line="343" w:lineRule="auto"/>
        <w:ind w:right="229" w:firstLine="456"/>
        <w:jc w:val="both"/>
      </w:pPr>
      <w:r>
        <w:rPr>
          <w:spacing w:val="-10"/>
        </w:rPr>
        <w:t>第五十四条 消防救援机构在消防监督检查中发现火灾隐患</w:t>
      </w:r>
      <w:r>
        <w:rPr>
          <w:spacing w:val="-19"/>
        </w:rPr>
        <w:t>的，应当通知有关单位或者个人立即采取措施消除隐患；不及时</w:t>
      </w:r>
      <w:r>
        <w:rPr>
          <w:spacing w:val="-15"/>
        </w:rPr>
        <w:t>消除隐患可能严重威胁公共安全的，消防救援机构应当依照规定对危险部位或者场所采取临时查封措施。</w:t>
      </w:r>
    </w:p>
    <w:p>
      <w:pPr>
        <w:pStyle w:val="BodyText"/>
        <w:spacing w:line="343" w:lineRule="auto"/>
        <w:ind w:right="229" w:firstLine="456"/>
        <w:jc w:val="both"/>
      </w:pPr>
      <w:r>
        <w:rPr>
          <w:spacing w:val="-6"/>
        </w:rPr>
        <w:t>第五十五条 消防救援机构在消防监督检查中发现城乡消</w:t>
      </w:r>
      <w:r>
        <w:rPr>
          <w:spacing w:val="-18"/>
        </w:rPr>
        <w:t>防安全布局、公共消防设施不符合消防安全要求，或者发现本地</w:t>
      </w:r>
      <w:r>
        <w:rPr>
          <w:spacing w:val="-14"/>
        </w:rPr>
        <w:t>区存在影响公共安全的重大火灾隐患的，应当由应急管理部门书</w:t>
      </w:r>
    </w:p>
    <w:p>
      <w:pPr>
        <w:spacing w:after="0" w:line="343" w:lineRule="auto"/>
        <w:jc w:val="both"/>
        <w:sectPr>
          <w:pgSz w:w="8400" w:h="11910"/>
          <w:pgMar w:header="0" w:footer="870" w:top="1100" w:bottom="1060" w:left="820" w:right="780"/>
        </w:sectPr>
      </w:pPr>
    </w:p>
    <w:p>
      <w:pPr>
        <w:pStyle w:val="BodyText"/>
        <w:spacing w:before="161"/>
      </w:pPr>
      <w:r>
        <w:rPr/>
        <w:t>面报告本级人民政府。</w:t>
      </w:r>
    </w:p>
    <w:p>
      <w:pPr>
        <w:pStyle w:val="BodyText"/>
        <w:spacing w:line="343" w:lineRule="auto" w:before="134"/>
        <w:ind w:right="239" w:firstLine="456"/>
      </w:pPr>
      <w:r>
        <w:rPr>
          <w:spacing w:val="-15"/>
        </w:rPr>
        <w:t>接到报告的人民政府应当及时核实情况，组织或者责成有关</w:t>
      </w:r>
      <w:r>
        <w:rPr>
          <w:spacing w:val="-12"/>
        </w:rPr>
        <w:t>部门、单位采取措施，予以整改。</w:t>
      </w:r>
    </w:p>
    <w:p>
      <w:pPr>
        <w:pStyle w:val="BodyText"/>
        <w:tabs>
          <w:tab w:pos="2012" w:val="left" w:leader="none"/>
        </w:tabs>
        <w:spacing w:line="343" w:lineRule="auto"/>
        <w:ind w:right="206" w:firstLine="456"/>
        <w:jc w:val="right"/>
      </w:pPr>
      <w:r>
        <w:rPr>
          <w:spacing w:val="-12"/>
        </w:rPr>
        <w:t>第五十六</w:t>
      </w:r>
      <w:r>
        <w:rPr/>
        <w:t>条</w:t>
        <w:tab/>
      </w:r>
      <w:r>
        <w:rPr>
          <w:spacing w:val="-12"/>
        </w:rPr>
        <w:t>住房和城乡建设主管部</w:t>
      </w:r>
      <w:r>
        <w:rPr>
          <w:spacing w:val="-24"/>
        </w:rPr>
        <w:t>门、</w:t>
      </w:r>
      <w:r>
        <w:rPr>
          <w:spacing w:val="-12"/>
        </w:rPr>
        <w:t>消</w:t>
      </w:r>
      <w:r>
        <w:rPr>
          <w:spacing w:val="-10"/>
        </w:rPr>
        <w:t>防</w:t>
      </w:r>
      <w:r>
        <w:rPr>
          <w:spacing w:val="-12"/>
        </w:rPr>
        <w:t>救援机构及其工作人员应当按照法定的职权和程序进行消防设计审</w:t>
      </w:r>
      <w:r>
        <w:rPr>
          <w:spacing w:val="-29"/>
        </w:rPr>
        <w:t>查、</w:t>
      </w:r>
      <w:r>
        <w:rPr>
          <w:spacing w:val="-12"/>
        </w:rPr>
        <w:t>消防验收、备案抽查和消防安全检查，做到公正、严格、文明、高效</w:t>
      </w:r>
      <w:r>
        <w:rPr>
          <w:spacing w:val="-30"/>
        </w:rPr>
        <w:t>。</w:t>
      </w:r>
      <w:r>
        <w:rPr>
          <w:spacing w:val="-12"/>
        </w:rPr>
        <w:t>住房和城乡建设主管部</w:t>
      </w:r>
      <w:r>
        <w:rPr>
          <w:spacing w:val="-29"/>
        </w:rPr>
        <w:t>门、</w:t>
      </w:r>
      <w:r>
        <w:rPr>
          <w:spacing w:val="-12"/>
        </w:rPr>
        <w:t>消防救援机构及其工作</w:t>
      </w:r>
      <w:r>
        <w:rPr>
          <w:spacing w:val="-11"/>
        </w:rPr>
        <w:t>人</w:t>
      </w:r>
      <w:r>
        <w:rPr>
          <w:spacing w:val="-12"/>
        </w:rPr>
        <w:t>员进行</w:t>
      </w:r>
    </w:p>
    <w:p>
      <w:pPr>
        <w:pStyle w:val="BodyText"/>
        <w:spacing w:line="343" w:lineRule="auto" w:before="2"/>
        <w:ind w:right="230"/>
        <w:jc w:val="both"/>
      </w:pPr>
      <w:r>
        <w:rPr>
          <w:spacing w:val="-18"/>
        </w:rPr>
        <w:t>消防设计审查、消防验收、备案抽查和消防安全检查等，不得收取费用，不得利用职务谋取利益；不得利用职务为用户、建设单</w:t>
      </w:r>
      <w:r>
        <w:rPr>
          <w:spacing w:val="-15"/>
        </w:rPr>
        <w:t>位指定或者变相指定消防产品的品牌、销售单位或者消防技术服务机构、消防设施施工单位。</w:t>
      </w:r>
    </w:p>
    <w:p>
      <w:pPr>
        <w:pStyle w:val="BodyText"/>
        <w:spacing w:line="343" w:lineRule="auto" w:before="1"/>
        <w:ind w:right="239" w:firstLine="456"/>
        <w:jc w:val="both"/>
      </w:pPr>
      <w:r>
        <w:rPr>
          <w:spacing w:val="-13"/>
        </w:rPr>
        <w:t>第五十七条 住房和城乡建设主管部门、消防救援机构及其</w:t>
      </w:r>
      <w:r>
        <w:rPr>
          <w:spacing w:val="-12"/>
        </w:rPr>
        <w:t>工作人员执行职务，应当自觉接受社会和公民的监督。</w:t>
      </w:r>
    </w:p>
    <w:p>
      <w:pPr>
        <w:pStyle w:val="BodyText"/>
        <w:spacing w:line="343" w:lineRule="auto" w:before="1"/>
        <w:ind w:right="227" w:firstLine="456"/>
        <w:jc w:val="both"/>
      </w:pPr>
      <w:r>
        <w:rPr>
          <w:spacing w:val="-5"/>
        </w:rPr>
        <w:t>任何单位和个人都有权对住房和城乡建设主管部门、消防</w:t>
      </w:r>
      <w:r>
        <w:rPr>
          <w:spacing w:val="-16"/>
        </w:rPr>
        <w:t>救援机构及其工作人员在执法中的违法行为进行检举、控告。收</w:t>
      </w:r>
      <w:r>
        <w:rPr>
          <w:spacing w:val="-12"/>
        </w:rPr>
        <w:t>到检举、控告的机关，应当按照职责及时查处。</w:t>
      </w:r>
    </w:p>
    <w:p>
      <w:pPr>
        <w:pStyle w:val="Heading2"/>
        <w:spacing w:before="81"/>
        <w:ind w:left="2322"/>
        <w:jc w:val="both"/>
      </w:pPr>
      <w:r>
        <w:rPr/>
        <w:t>第六章 法律责任</w:t>
      </w:r>
    </w:p>
    <w:p>
      <w:pPr>
        <w:pStyle w:val="BodyText"/>
        <w:spacing w:line="343" w:lineRule="auto" w:before="241"/>
        <w:ind w:right="206" w:firstLine="456"/>
        <w:jc w:val="both"/>
      </w:pPr>
      <w:r>
        <w:rPr>
          <w:spacing w:val="-14"/>
        </w:rPr>
        <w:t>第五十八条 违反本法规定，有下列行为之一的，由住房和</w:t>
      </w:r>
      <w:r>
        <w:rPr>
          <w:spacing w:val="-13"/>
        </w:rPr>
        <w:t>城乡建设主管部门、消防救援机构按照各自职权责令停止施工、</w:t>
      </w:r>
      <w:r>
        <w:rPr>
          <w:spacing w:val="-12"/>
        </w:rPr>
        <w:t>停止使用或者停产停业，并处三万元以上三十万元以下罚款：</w:t>
      </w:r>
    </w:p>
    <w:p>
      <w:pPr>
        <w:pStyle w:val="BodyText"/>
        <w:spacing w:before="1"/>
        <w:ind w:left="656"/>
      </w:pPr>
      <w:r>
        <w:rPr>
          <w:spacing w:val="-14"/>
        </w:rPr>
        <w:t>(一)依法应当进行消防设计审查的建设工程，未经依法审查</w:t>
      </w:r>
    </w:p>
    <w:p>
      <w:pPr>
        <w:spacing w:after="0"/>
        <w:sectPr>
          <w:pgSz w:w="8400" w:h="11910"/>
          <w:pgMar w:header="0" w:footer="870" w:top="1100" w:bottom="1060" w:left="820" w:right="780"/>
        </w:sectPr>
      </w:pPr>
    </w:p>
    <w:p>
      <w:pPr>
        <w:pStyle w:val="BodyText"/>
        <w:spacing w:before="161"/>
      </w:pPr>
      <w:r>
        <w:rPr/>
        <w:t>或者审查不合格，擅自施工的；</w:t>
      </w:r>
    </w:p>
    <w:p>
      <w:pPr>
        <w:pStyle w:val="BodyText"/>
        <w:spacing w:line="343" w:lineRule="auto" w:before="134"/>
        <w:ind w:right="239" w:firstLine="456"/>
      </w:pPr>
      <w:r>
        <w:rPr>
          <w:spacing w:val="-15"/>
        </w:rPr>
        <w:t>(二)依法应当进行消防验收的建设工程，未经消防验收或者</w:t>
      </w:r>
      <w:r>
        <w:rPr>
          <w:spacing w:val="-12"/>
        </w:rPr>
        <w:t>消防验收不合格，擅自投入使用的；</w:t>
      </w:r>
    </w:p>
    <w:p>
      <w:pPr>
        <w:pStyle w:val="BodyText"/>
        <w:spacing w:line="345" w:lineRule="auto"/>
        <w:ind w:right="230" w:firstLine="456"/>
      </w:pPr>
      <w:r>
        <w:rPr>
          <w:spacing w:val="-6"/>
        </w:rPr>
        <w:t>(三)本法第十三条规定的其他建设工程验收后经依法抽查</w:t>
      </w:r>
      <w:r>
        <w:rPr>
          <w:spacing w:val="-12"/>
        </w:rPr>
        <w:t>不合格，不停止使用的；</w:t>
      </w:r>
    </w:p>
    <w:p>
      <w:pPr>
        <w:pStyle w:val="BodyText"/>
        <w:spacing w:line="343" w:lineRule="auto"/>
        <w:ind w:right="230" w:firstLine="456"/>
      </w:pPr>
      <w:r>
        <w:rPr>
          <w:spacing w:val="-6"/>
        </w:rPr>
        <w:t>(四)公众聚集场所未经消防安全检查或者经检查不符合消</w:t>
      </w:r>
      <w:r>
        <w:rPr>
          <w:spacing w:val="-12"/>
        </w:rPr>
        <w:t>防安全要求，擅自投入使用、营业的。</w:t>
      </w:r>
    </w:p>
    <w:p>
      <w:pPr>
        <w:pStyle w:val="BodyText"/>
        <w:spacing w:line="343" w:lineRule="auto"/>
        <w:ind w:right="228" w:firstLine="456"/>
        <w:jc w:val="both"/>
      </w:pPr>
      <w:r>
        <w:rPr>
          <w:spacing w:val="-5"/>
        </w:rPr>
        <w:t>建设单位未依照本法规定在验收后报住房和城乡建设主管</w:t>
      </w:r>
      <w:r>
        <w:rPr>
          <w:spacing w:val="-18"/>
        </w:rPr>
        <w:t>部门备案的，由住房和城乡建设主管部门责令改正，处五千元以</w:t>
      </w:r>
      <w:r>
        <w:rPr>
          <w:spacing w:val="-12"/>
        </w:rPr>
        <w:t>下罚款。</w:t>
      </w:r>
    </w:p>
    <w:p>
      <w:pPr>
        <w:pStyle w:val="BodyText"/>
        <w:spacing w:line="343" w:lineRule="auto"/>
        <w:ind w:right="239" w:firstLine="456"/>
        <w:jc w:val="both"/>
      </w:pPr>
      <w:r>
        <w:rPr>
          <w:spacing w:val="-17"/>
        </w:rPr>
        <w:t>第五十九条违反本法规定，有下列行为之一的，由住房和城</w:t>
      </w:r>
      <w:r>
        <w:rPr>
          <w:spacing w:val="-15"/>
        </w:rPr>
        <w:t>乡建设主管部门责令改正或者停止施工，并处一万元以上十万元</w:t>
      </w:r>
      <w:r>
        <w:rPr>
          <w:spacing w:val="-12"/>
        </w:rPr>
        <w:t>以下罚款：</w:t>
      </w:r>
    </w:p>
    <w:p>
      <w:pPr>
        <w:pStyle w:val="BodyText"/>
        <w:spacing w:line="343" w:lineRule="auto"/>
        <w:ind w:right="230" w:firstLine="456"/>
      </w:pPr>
      <w:r>
        <w:rPr>
          <w:spacing w:val="-6"/>
        </w:rPr>
        <w:t>(一)建设单位要求建筑设计单位或者建筑施工企业降低消</w:t>
      </w:r>
      <w:r>
        <w:rPr>
          <w:spacing w:val="-12"/>
        </w:rPr>
        <w:t>防技术标准设计、施工的；</w:t>
      </w:r>
    </w:p>
    <w:p>
      <w:pPr>
        <w:pStyle w:val="BodyText"/>
        <w:spacing w:line="345" w:lineRule="auto"/>
        <w:ind w:right="230" w:firstLine="456"/>
      </w:pPr>
      <w:r>
        <w:rPr>
          <w:spacing w:val="-6"/>
        </w:rPr>
        <w:t>(二)建筑设计单位不按照消防技术标准强制性要求进行消</w:t>
      </w:r>
      <w:r>
        <w:rPr>
          <w:spacing w:val="-12"/>
        </w:rPr>
        <w:t>防设计的；</w:t>
      </w:r>
    </w:p>
    <w:p>
      <w:pPr>
        <w:pStyle w:val="BodyText"/>
        <w:spacing w:line="343" w:lineRule="auto"/>
        <w:ind w:right="230" w:firstLine="456"/>
      </w:pPr>
      <w:r>
        <w:rPr>
          <w:spacing w:val="-6"/>
        </w:rPr>
        <w:t>(三)建筑施工企业不按照消防设计文件和消防技术标准施</w:t>
      </w:r>
      <w:r>
        <w:rPr>
          <w:spacing w:val="-12"/>
        </w:rPr>
        <w:t>工，降低消防施工质量的；</w:t>
      </w:r>
    </w:p>
    <w:p>
      <w:pPr>
        <w:pStyle w:val="BodyText"/>
        <w:spacing w:line="343" w:lineRule="auto"/>
        <w:ind w:right="239" w:firstLine="456"/>
      </w:pPr>
      <w:r>
        <w:rPr>
          <w:spacing w:val="-15"/>
        </w:rPr>
        <w:t>(四)工程监理单位与建设单位或者建筑施工企业串通，弄虚</w:t>
      </w:r>
      <w:r>
        <w:rPr>
          <w:spacing w:val="-12"/>
        </w:rPr>
        <w:t>作假，降低消防施工质量的。</w:t>
      </w:r>
    </w:p>
    <w:p>
      <w:pPr>
        <w:spacing w:after="0" w:line="343" w:lineRule="auto"/>
        <w:sectPr>
          <w:pgSz w:w="8400" w:h="11910"/>
          <w:pgMar w:header="0" w:footer="870" w:top="1100" w:bottom="1060" w:left="820" w:right="780"/>
        </w:sectPr>
      </w:pPr>
    </w:p>
    <w:p>
      <w:pPr>
        <w:pStyle w:val="BodyText"/>
        <w:spacing w:line="345" w:lineRule="auto" w:before="161"/>
        <w:ind w:right="229" w:firstLine="456"/>
      </w:pPr>
      <w:r>
        <w:rPr>
          <w:spacing w:val="-10"/>
        </w:rPr>
        <w:t>第六十条 单位违反本法规定，有下列行为之一的，责令改</w:t>
      </w:r>
      <w:r>
        <w:rPr>
          <w:spacing w:val="-12"/>
        </w:rPr>
        <w:t>正，处五千元以上五万元以下罚款：</w:t>
      </w:r>
    </w:p>
    <w:p>
      <w:pPr>
        <w:pStyle w:val="BodyText"/>
        <w:spacing w:line="343" w:lineRule="auto"/>
        <w:ind w:right="230" w:firstLine="456"/>
      </w:pPr>
      <w:r>
        <w:rPr>
          <w:spacing w:val="-17"/>
        </w:rPr>
        <w:t>(一)消防设施、器材或者消防安全标志的配置、设置不符合</w:t>
      </w:r>
      <w:r>
        <w:rPr>
          <w:spacing w:val="-12"/>
        </w:rPr>
        <w:t>国家标准、行业标准，或者未保持完好有效的；</w:t>
      </w:r>
    </w:p>
    <w:p>
      <w:pPr>
        <w:pStyle w:val="BodyText"/>
        <w:spacing w:line="343" w:lineRule="auto"/>
        <w:ind w:left="656" w:right="540"/>
      </w:pPr>
      <w:r>
        <w:rPr>
          <w:spacing w:val="-13"/>
        </w:rPr>
        <w:t>(二)损坏、挪用或者擅自拆除、停用消防设施、器材的; </w:t>
      </w:r>
      <w:r>
        <w:rPr>
          <w:spacing w:val="-12"/>
        </w:rPr>
        <w:t>(三)占用、堵塞、封闭疏散通道、安全出口或者有其他</w:t>
      </w:r>
    </w:p>
    <w:p>
      <w:pPr>
        <w:pStyle w:val="BodyText"/>
        <w:spacing w:line="307" w:lineRule="exact"/>
      </w:pPr>
      <w:r>
        <w:rPr/>
        <w:t>妨碍安全疏散行为的;</w:t>
      </w:r>
    </w:p>
    <w:p>
      <w:pPr>
        <w:pStyle w:val="BodyText"/>
        <w:spacing w:before="131"/>
        <w:ind w:left="656"/>
      </w:pPr>
      <w:r>
        <w:rPr/>
        <w:t>(四)埋压、圈占、遮挡消火栓或者占用防火间距的；</w:t>
      </w:r>
    </w:p>
    <w:p>
      <w:pPr>
        <w:pStyle w:val="BodyText"/>
        <w:spacing w:line="343" w:lineRule="auto" w:before="131"/>
        <w:ind w:left="656" w:right="230"/>
      </w:pPr>
      <w:r>
        <w:rPr>
          <w:spacing w:val="-12"/>
        </w:rPr>
        <w:t>(五)占用、堵塞、封闭消防车通道，妨碍消防车通行的； </w:t>
      </w:r>
      <w:r>
        <w:rPr>
          <w:spacing w:val="-6"/>
        </w:rPr>
        <w:t>(六)人员密集场所在门窗上设置影响逃生和灭火救援的障</w:t>
      </w:r>
    </w:p>
    <w:p>
      <w:pPr>
        <w:pStyle w:val="BodyText"/>
        <w:spacing w:before="2"/>
      </w:pPr>
      <w:r>
        <w:rPr/>
        <w:t>碍物的；</w:t>
      </w:r>
    </w:p>
    <w:p>
      <w:pPr>
        <w:pStyle w:val="BodyText"/>
        <w:spacing w:line="343" w:lineRule="auto" w:before="131"/>
        <w:ind w:right="230" w:firstLine="456"/>
      </w:pPr>
      <w:r>
        <w:rPr>
          <w:spacing w:val="-6"/>
        </w:rPr>
        <w:t>(七)对火灾隐患经消防救援机构通知后不及时采取措施消</w:t>
      </w:r>
      <w:r>
        <w:rPr>
          <w:spacing w:val="-12"/>
        </w:rPr>
        <w:t>除的。</w:t>
      </w:r>
    </w:p>
    <w:p>
      <w:pPr>
        <w:pStyle w:val="BodyText"/>
        <w:spacing w:line="343" w:lineRule="auto" w:before="2"/>
        <w:ind w:right="206" w:firstLine="456"/>
      </w:pPr>
      <w:r>
        <w:rPr>
          <w:spacing w:val="-13"/>
        </w:rPr>
        <w:t>个人有前款第二项、第三项、第四项、第五项行为之一的， </w:t>
      </w:r>
      <w:r>
        <w:rPr>
          <w:spacing w:val="-12"/>
        </w:rPr>
        <w:t>处警告或者五百元以下罚款。</w:t>
      </w:r>
    </w:p>
    <w:p>
      <w:pPr>
        <w:pStyle w:val="BodyText"/>
        <w:spacing w:line="345" w:lineRule="auto"/>
        <w:ind w:right="240" w:firstLine="456"/>
      </w:pPr>
      <w:r>
        <w:rPr>
          <w:spacing w:val="-18"/>
        </w:rPr>
        <w:t>有本条第一款第三项、第四项、第五项、第六项行为，经责</w:t>
      </w:r>
      <w:r>
        <w:rPr>
          <w:spacing w:val="-12"/>
        </w:rPr>
        <w:t>令改正拒不改正的，强制执行，所需费用由违法行为人承担。</w:t>
      </w:r>
    </w:p>
    <w:p>
      <w:pPr>
        <w:pStyle w:val="BodyText"/>
        <w:spacing w:line="343" w:lineRule="auto"/>
        <w:ind w:right="229" w:firstLine="456"/>
        <w:jc w:val="both"/>
      </w:pPr>
      <w:r>
        <w:rPr>
          <w:spacing w:val="-10"/>
        </w:rPr>
        <w:t>第六十一条 生产、储存、经营易燃易爆危险品的场所与居</w:t>
      </w:r>
      <w:r>
        <w:rPr>
          <w:spacing w:val="-5"/>
        </w:rPr>
        <w:t>住场所设置在同一建筑物内，或者未与居住场所保持安全距离</w:t>
      </w:r>
      <w:r>
        <w:rPr>
          <w:spacing w:val="-12"/>
        </w:rPr>
        <w:t>的，责令停产停业，并处五千元以上五万元以下罚款。</w:t>
      </w:r>
    </w:p>
    <w:p>
      <w:pPr>
        <w:pStyle w:val="BodyText"/>
        <w:ind w:left="656"/>
      </w:pPr>
      <w:r>
        <w:rPr>
          <w:spacing w:val="-19"/>
        </w:rPr>
        <w:t>生产、储存、经营其他物品的场所与居住场所设置在同一建</w:t>
      </w:r>
    </w:p>
    <w:p>
      <w:pPr>
        <w:spacing w:after="0"/>
        <w:sectPr>
          <w:pgSz w:w="8400" w:h="11910"/>
          <w:pgMar w:header="0" w:footer="870" w:top="1100" w:bottom="1060" w:left="820" w:right="780"/>
        </w:sectPr>
      </w:pPr>
    </w:p>
    <w:p>
      <w:pPr>
        <w:pStyle w:val="BodyText"/>
        <w:spacing w:before="161"/>
      </w:pPr>
      <w:r>
        <w:rPr/>
        <w:t>筑物内，不符合消防技术标准的，依照前款规定处罚。</w:t>
      </w:r>
    </w:p>
    <w:p>
      <w:pPr>
        <w:pStyle w:val="BodyText"/>
        <w:spacing w:line="343" w:lineRule="auto" w:before="134"/>
        <w:ind w:right="229" w:firstLine="456"/>
      </w:pPr>
      <w:r>
        <w:rPr>
          <w:spacing w:val="-10"/>
        </w:rPr>
        <w:t>第六十二条 有下列行为之一的，依照《中华人民共和国治</w:t>
      </w:r>
      <w:r>
        <w:rPr>
          <w:spacing w:val="-12"/>
        </w:rPr>
        <w:t>安管理处罚法》的规定处罚：</w:t>
      </w:r>
    </w:p>
    <w:p>
      <w:pPr>
        <w:pStyle w:val="BodyText"/>
        <w:spacing w:line="345" w:lineRule="auto"/>
        <w:ind w:right="206" w:firstLine="456"/>
      </w:pPr>
      <w:r>
        <w:rPr>
          <w:spacing w:val="-13"/>
        </w:rPr>
        <w:t>(一)违反有关消防技术标准和管理规定生产、储存、运输、</w:t>
      </w:r>
      <w:r>
        <w:rPr>
          <w:spacing w:val="-12"/>
        </w:rPr>
        <w:t>销售、使用、销毁易燃易爆危险品的；</w:t>
      </w:r>
    </w:p>
    <w:p>
      <w:pPr>
        <w:pStyle w:val="BodyText"/>
        <w:spacing w:line="343" w:lineRule="auto"/>
        <w:ind w:right="230" w:firstLine="456"/>
      </w:pPr>
      <w:r>
        <w:rPr>
          <w:spacing w:val="-6"/>
        </w:rPr>
        <w:t>(二)非法携带易燃易爆危险品进入公共场所或者乘坐公共</w:t>
      </w:r>
      <w:r>
        <w:rPr>
          <w:spacing w:val="-12"/>
        </w:rPr>
        <w:t>交通工具的；</w:t>
      </w:r>
    </w:p>
    <w:p>
      <w:pPr>
        <w:pStyle w:val="BodyText"/>
        <w:ind w:left="656"/>
      </w:pPr>
      <w:r>
        <w:rPr/>
        <w:t>(三)谎报火警的；</w:t>
      </w:r>
    </w:p>
    <w:p>
      <w:pPr>
        <w:pStyle w:val="BodyText"/>
        <w:spacing w:before="128"/>
        <w:ind w:left="656"/>
      </w:pPr>
      <w:r>
        <w:rPr/>
        <w:t>(四)阻碍消防车、消防艇执行任务的；</w:t>
      </w:r>
    </w:p>
    <w:p>
      <w:pPr>
        <w:pStyle w:val="BodyText"/>
        <w:spacing w:before="131"/>
        <w:ind w:left="656"/>
      </w:pPr>
      <w:r>
        <w:rPr/>
        <w:t>(五)阻碍消防救援机构的工作人员依法执行职务的。</w:t>
      </w:r>
    </w:p>
    <w:p>
      <w:pPr>
        <w:pStyle w:val="BodyText"/>
        <w:spacing w:line="343" w:lineRule="auto" w:before="135"/>
        <w:ind w:right="229" w:firstLine="456"/>
      </w:pPr>
      <w:r>
        <w:rPr>
          <w:spacing w:val="-10"/>
        </w:rPr>
        <w:t>第六十三条 违反本法规定，有下列行为之一的，处警告或</w:t>
      </w:r>
      <w:r>
        <w:rPr>
          <w:spacing w:val="-12"/>
        </w:rPr>
        <w:t>者五百元以下罚款；情节严重的，处五日以下拘留：</w:t>
      </w:r>
    </w:p>
    <w:p>
      <w:pPr>
        <w:pStyle w:val="BodyText"/>
        <w:spacing w:line="345" w:lineRule="auto"/>
        <w:ind w:right="239" w:firstLine="456"/>
      </w:pPr>
      <w:r>
        <w:rPr>
          <w:spacing w:val="-16"/>
        </w:rPr>
        <w:t>(一)违反消防安全规定进入生产、储存易燃易爆危险品场所</w:t>
      </w:r>
      <w:r>
        <w:rPr>
          <w:spacing w:val="-12"/>
        </w:rPr>
        <w:t>的；</w:t>
      </w:r>
    </w:p>
    <w:p>
      <w:pPr>
        <w:pStyle w:val="BodyText"/>
        <w:spacing w:line="343" w:lineRule="auto"/>
        <w:ind w:right="239" w:firstLine="456"/>
      </w:pPr>
      <w:r>
        <w:rPr>
          <w:spacing w:val="-15"/>
        </w:rPr>
        <w:t>(二)违反规定使用明火作业或者在具有火灾、爆炸危险的场</w:t>
      </w:r>
      <w:r>
        <w:rPr>
          <w:spacing w:val="-12"/>
        </w:rPr>
        <w:t>所吸烟、使用明火的。</w:t>
      </w:r>
    </w:p>
    <w:p>
      <w:pPr>
        <w:pStyle w:val="BodyText"/>
        <w:spacing w:line="343" w:lineRule="auto"/>
        <w:ind w:right="206" w:firstLine="456"/>
        <w:jc w:val="both"/>
      </w:pPr>
      <w:r>
        <w:rPr>
          <w:spacing w:val="-10"/>
        </w:rPr>
        <w:t>第六十四条 违反本法规定，有下列行为之一，尚不构成犯</w:t>
      </w:r>
      <w:r>
        <w:rPr>
          <w:spacing w:val="-13"/>
        </w:rPr>
        <w:t>罪的，处十日以上十五日以下拘留，可以并处五百元以下罚款； </w:t>
      </w:r>
      <w:r>
        <w:rPr>
          <w:spacing w:val="-12"/>
        </w:rPr>
        <w:t>情节较轻的，处警告或者五百元以下罚款：</w:t>
      </w:r>
    </w:p>
    <w:p>
      <w:pPr>
        <w:pStyle w:val="BodyText"/>
        <w:spacing w:line="343" w:lineRule="auto"/>
        <w:ind w:left="656" w:right="394"/>
      </w:pPr>
      <w:r>
        <w:rPr>
          <w:spacing w:val="-13"/>
        </w:rPr>
        <w:t>(一)指使或者强令他人违反消防安全规定，冒险作业的； </w:t>
      </w:r>
      <w:r>
        <w:rPr>
          <w:spacing w:val="-12"/>
        </w:rPr>
        <w:t>(二)过失引起火灾的；</w:t>
      </w:r>
    </w:p>
    <w:p>
      <w:pPr>
        <w:spacing w:after="0" w:line="343" w:lineRule="auto"/>
        <w:sectPr>
          <w:pgSz w:w="8400" w:h="11910"/>
          <w:pgMar w:header="0" w:footer="870" w:top="1100" w:bottom="1060" w:left="820" w:right="780"/>
        </w:sectPr>
      </w:pPr>
    </w:p>
    <w:p>
      <w:pPr>
        <w:pStyle w:val="BodyText"/>
        <w:spacing w:line="345" w:lineRule="auto" w:before="161"/>
        <w:ind w:right="239" w:firstLine="456"/>
      </w:pPr>
      <w:r>
        <w:rPr>
          <w:spacing w:val="-17"/>
        </w:rPr>
        <w:t>(三)在火灾发生后阻拦报警，或者负有报告职责的人员不及</w:t>
      </w:r>
      <w:r>
        <w:rPr>
          <w:spacing w:val="-12"/>
        </w:rPr>
        <w:t>时报警的；</w:t>
      </w:r>
    </w:p>
    <w:p>
      <w:pPr>
        <w:pStyle w:val="BodyText"/>
        <w:spacing w:line="343" w:lineRule="auto"/>
        <w:ind w:right="230" w:firstLine="456"/>
      </w:pPr>
      <w:r>
        <w:rPr>
          <w:spacing w:val="-6"/>
        </w:rPr>
        <w:t>(四)扰乱火灾现场秩序，或者拒不执行火灾现场指挥员指</w:t>
      </w:r>
      <w:r>
        <w:rPr>
          <w:spacing w:val="-12"/>
        </w:rPr>
        <w:t>挥，影响灭火救援的；</w:t>
      </w:r>
    </w:p>
    <w:p>
      <w:pPr>
        <w:pStyle w:val="BodyText"/>
        <w:ind w:left="656"/>
      </w:pPr>
      <w:r>
        <w:rPr/>
        <w:t>(五)故意破坏或者伪造火灾现场的；</w:t>
      </w:r>
    </w:p>
    <w:p>
      <w:pPr>
        <w:pStyle w:val="BodyText"/>
        <w:spacing w:line="343" w:lineRule="auto" w:before="128"/>
        <w:ind w:right="230" w:firstLine="456"/>
      </w:pPr>
      <w:r>
        <w:rPr>
          <w:spacing w:val="-6"/>
        </w:rPr>
        <w:t>(六)擅自拆封或者使用被消防救援机构查封的场所、部位</w:t>
      </w:r>
      <w:r>
        <w:rPr>
          <w:spacing w:val="-12"/>
        </w:rPr>
        <w:t>的。</w:t>
      </w:r>
    </w:p>
    <w:p>
      <w:pPr>
        <w:pStyle w:val="BodyText"/>
        <w:spacing w:line="343" w:lineRule="auto" w:before="2"/>
        <w:ind w:right="228" w:firstLine="456"/>
        <w:jc w:val="both"/>
      </w:pPr>
      <w:r>
        <w:rPr>
          <w:spacing w:val="-10"/>
        </w:rPr>
        <w:t>第六十五条 违反本法规定，生产、销售不合格的消防产品</w:t>
      </w:r>
      <w:r>
        <w:rPr>
          <w:spacing w:val="-15"/>
        </w:rPr>
        <w:t>或者国家明令淘汰的消防产品的，由产品质量监督部门或者工商</w:t>
      </w:r>
      <w:r>
        <w:rPr>
          <w:spacing w:val="-18"/>
        </w:rPr>
        <w:t>行政管理部门依照《中华人民共和国产品质量法》的规定从重处罚。</w:t>
      </w:r>
    </w:p>
    <w:p>
      <w:pPr>
        <w:pStyle w:val="BodyText"/>
        <w:spacing w:line="343" w:lineRule="auto"/>
        <w:ind w:right="227" w:firstLine="456"/>
        <w:jc w:val="both"/>
      </w:pPr>
      <w:r>
        <w:rPr>
          <w:spacing w:val="-5"/>
        </w:rPr>
        <w:t>人员密集场所使用不合格的消防产品或者国家明令淘汰的</w:t>
      </w:r>
      <w:r>
        <w:rPr>
          <w:spacing w:val="-17"/>
        </w:rPr>
        <w:t>消防产品的，责令限期改正；逾期不改正的，处五千元以上五万</w:t>
      </w:r>
      <w:r>
        <w:rPr>
          <w:spacing w:val="-18"/>
        </w:rPr>
        <w:t>元以下罚款，并对其直接负责的主管人员和其他直接责任人员处</w:t>
      </w:r>
      <w:r>
        <w:rPr>
          <w:spacing w:val="-12"/>
        </w:rPr>
        <w:t>五百元以上二千元以下罚款；情节严重的，责令停产停业。</w:t>
      </w:r>
    </w:p>
    <w:p>
      <w:pPr>
        <w:pStyle w:val="BodyText"/>
        <w:spacing w:line="343" w:lineRule="auto" w:before="1"/>
        <w:ind w:right="227" w:firstLine="456"/>
        <w:jc w:val="both"/>
      </w:pPr>
      <w:r>
        <w:rPr>
          <w:spacing w:val="-14"/>
        </w:rPr>
        <w:t>消防救援机构对于本条第二款规定的情形，除依法对使用者</w:t>
      </w:r>
      <w:r>
        <w:rPr>
          <w:spacing w:val="-19"/>
        </w:rPr>
        <w:t>予以处罚外，应当将发现不合格的消防产品和国家明令淘汰的消</w:t>
      </w:r>
      <w:r>
        <w:rPr>
          <w:spacing w:val="-16"/>
        </w:rPr>
        <w:t>防产品的情况通报产品质量监督部门、工商行政管理部门。产品</w:t>
      </w:r>
      <w:r>
        <w:rPr>
          <w:spacing w:val="-20"/>
        </w:rPr>
        <w:t>质量监督部门、工商行政管理部门应当对生产者、销售者依法及</w:t>
      </w:r>
      <w:r>
        <w:rPr>
          <w:spacing w:val="-12"/>
        </w:rPr>
        <w:t>时查处。</w:t>
      </w:r>
    </w:p>
    <w:p>
      <w:pPr>
        <w:pStyle w:val="BodyText"/>
        <w:spacing w:before="3"/>
        <w:ind w:left="656"/>
        <w:jc w:val="both"/>
      </w:pPr>
      <w:r>
        <w:rPr/>
        <w:t>第六十六条 电器产品、燃气用具的安装、使用及其线路、</w:t>
      </w:r>
    </w:p>
    <w:p>
      <w:pPr>
        <w:spacing w:after="0"/>
        <w:jc w:val="both"/>
        <w:sectPr>
          <w:pgSz w:w="8400" w:h="11910"/>
          <w:pgMar w:header="0" w:footer="870" w:top="1100" w:bottom="1060" w:left="820" w:right="780"/>
        </w:sectPr>
      </w:pPr>
    </w:p>
    <w:p>
      <w:pPr>
        <w:pStyle w:val="BodyText"/>
        <w:spacing w:line="343" w:lineRule="auto" w:before="161"/>
        <w:ind w:right="227"/>
        <w:jc w:val="both"/>
      </w:pPr>
      <w:r>
        <w:rPr>
          <w:spacing w:val="-18"/>
        </w:rPr>
        <w:t>管路的设计、敷设、维护保养、检测不符合消防技术标准和管理</w:t>
      </w:r>
      <w:r>
        <w:rPr>
          <w:spacing w:val="-17"/>
        </w:rPr>
        <w:t>规定的，责令限期改正；逾期不改正的，责令停止使用，可以并</w:t>
      </w:r>
      <w:r>
        <w:rPr>
          <w:spacing w:val="-12"/>
        </w:rPr>
        <w:t>处一千元以上五千元以下的罚款。</w:t>
      </w:r>
    </w:p>
    <w:p>
      <w:pPr>
        <w:pStyle w:val="BodyText"/>
        <w:spacing w:line="343" w:lineRule="auto" w:before="1"/>
        <w:ind w:right="227" w:firstLine="456"/>
        <w:jc w:val="both"/>
      </w:pPr>
      <w:r>
        <w:rPr>
          <w:spacing w:val="-10"/>
        </w:rPr>
        <w:t>第六十七条 机关、团体、企业、事业等单位违反本法第十</w:t>
      </w:r>
      <w:r>
        <w:rPr>
          <w:spacing w:val="-17"/>
        </w:rPr>
        <w:t>六条、第十七条、第十八条、第二十一条第二款规定的，责令限</w:t>
      </w:r>
      <w:r>
        <w:rPr>
          <w:spacing w:val="-19"/>
        </w:rPr>
        <w:t>期改正；逾期不改正的，对其直接负责的主管人员和其他直接责</w:t>
      </w:r>
      <w:r>
        <w:rPr>
          <w:spacing w:val="-12"/>
        </w:rPr>
        <w:t>任人员依法给予处分或者给予警告处罚。</w:t>
      </w:r>
    </w:p>
    <w:p>
      <w:pPr>
        <w:pStyle w:val="BodyText"/>
        <w:spacing w:line="343" w:lineRule="auto" w:before="3"/>
        <w:ind w:right="229" w:firstLine="456"/>
        <w:jc w:val="both"/>
      </w:pPr>
      <w:r>
        <w:rPr>
          <w:spacing w:val="-10"/>
        </w:rPr>
        <w:t>第六十八条 人员密集场所发生火灾，该场所的现场工作人</w:t>
      </w:r>
      <w:r>
        <w:rPr>
          <w:spacing w:val="-18"/>
        </w:rPr>
        <w:t>员不履行组织、引导在场人员疏散的义务，情节严重，尚不构成</w:t>
      </w:r>
      <w:r>
        <w:rPr>
          <w:spacing w:val="-12"/>
        </w:rPr>
        <w:t>犯罪的，处五日以上十日以下拘留。</w:t>
      </w:r>
    </w:p>
    <w:p>
      <w:pPr>
        <w:pStyle w:val="BodyText"/>
        <w:spacing w:line="343" w:lineRule="auto" w:before="1"/>
        <w:ind w:right="227" w:firstLine="456"/>
        <w:jc w:val="both"/>
      </w:pPr>
      <w:r>
        <w:rPr>
          <w:spacing w:val="-10"/>
        </w:rPr>
        <w:t>第六十九条 消防产品质量认证、消防设施检测等消防技术</w:t>
      </w:r>
      <w:r>
        <w:rPr>
          <w:spacing w:val="-16"/>
        </w:rPr>
        <w:t>服务机构出具虚假文件的，责令改正，处五万元以上十万元以下</w:t>
      </w:r>
      <w:r>
        <w:rPr>
          <w:spacing w:val="-18"/>
        </w:rPr>
        <w:t>罚款，并对直接负责的主管人员和其他直接责任人员处一万元以</w:t>
      </w:r>
      <w:r>
        <w:rPr>
          <w:spacing w:val="-17"/>
        </w:rPr>
        <w:t>上五万元以下罚款；有违法所得的，并处没收违法所得；给他人</w:t>
      </w:r>
      <w:r>
        <w:rPr>
          <w:spacing w:val="-11"/>
        </w:rPr>
        <w:t>造成损失的，依法承担赔偿责任；情节严重的，由 原许可机关</w:t>
      </w:r>
      <w:r>
        <w:rPr>
          <w:spacing w:val="-12"/>
        </w:rPr>
        <w:t>依法责令停止执业或者吊销相应资质、资格。</w:t>
      </w:r>
    </w:p>
    <w:p>
      <w:pPr>
        <w:pStyle w:val="BodyText"/>
        <w:spacing w:line="343" w:lineRule="auto" w:before="2"/>
        <w:ind w:right="226" w:firstLine="456"/>
        <w:jc w:val="both"/>
      </w:pPr>
      <w:r>
        <w:rPr>
          <w:spacing w:val="-16"/>
        </w:rPr>
        <w:t>前款规定的机构出具失实文件，给他人造成损失的，依法承</w:t>
      </w:r>
      <w:r>
        <w:rPr>
          <w:spacing w:val="-20"/>
        </w:rPr>
        <w:t>担赔偿责任；造成重大损失的，由原许可机关依法责令停止执业</w:t>
      </w:r>
      <w:r>
        <w:rPr>
          <w:spacing w:val="-12"/>
        </w:rPr>
        <w:t>或者吊销相应资质、资格。</w:t>
      </w:r>
    </w:p>
    <w:p>
      <w:pPr>
        <w:pStyle w:val="BodyText"/>
        <w:spacing w:line="343" w:lineRule="auto" w:before="1"/>
        <w:ind w:right="241" w:firstLine="456"/>
        <w:jc w:val="both"/>
      </w:pPr>
      <w:r>
        <w:rPr>
          <w:spacing w:val="-22"/>
        </w:rPr>
        <w:t>第七十条 本法规定的行政处罚，除应当由公安机关依照《中</w:t>
      </w:r>
      <w:r>
        <w:rPr>
          <w:spacing w:val="-17"/>
        </w:rPr>
        <w:t>华人民共和国治安管理处罚法》的有关规定决定的外，由住房和</w:t>
      </w:r>
    </w:p>
    <w:p>
      <w:pPr>
        <w:spacing w:after="0" w:line="343" w:lineRule="auto"/>
        <w:jc w:val="both"/>
        <w:sectPr>
          <w:pgSz w:w="8400" w:h="11910"/>
          <w:pgMar w:header="0" w:footer="870" w:top="1100" w:bottom="1060" w:left="820" w:right="780"/>
        </w:sectPr>
      </w:pPr>
    </w:p>
    <w:p>
      <w:pPr>
        <w:pStyle w:val="BodyText"/>
        <w:spacing w:before="161"/>
      </w:pPr>
      <w:r>
        <w:rPr/>
        <w:t>城乡建设主管部门、消防救援机构按照各自职权决定。</w:t>
      </w:r>
    </w:p>
    <w:p>
      <w:pPr>
        <w:pStyle w:val="BodyText"/>
        <w:spacing w:line="343" w:lineRule="auto" w:before="134"/>
        <w:ind w:right="227" w:firstLine="456"/>
        <w:jc w:val="both"/>
      </w:pPr>
      <w:r>
        <w:rPr>
          <w:spacing w:val="-17"/>
        </w:rPr>
        <w:t>被责令停止施工、停止使用、停产停业的，应当在整改后向作出决定的部门或者机构报告，经检查合格，方可恢复施工、使</w:t>
      </w:r>
      <w:r>
        <w:rPr>
          <w:spacing w:val="-12"/>
        </w:rPr>
        <w:t>用、生产、经营。</w:t>
      </w:r>
    </w:p>
    <w:p>
      <w:pPr>
        <w:pStyle w:val="BodyText"/>
        <w:spacing w:line="343" w:lineRule="auto" w:before="1"/>
        <w:ind w:right="239"/>
      </w:pPr>
      <w:r>
        <w:rPr>
          <w:spacing w:val="-18"/>
        </w:rPr>
        <w:t>当事人逾期不执行停产停业、停止使用、停止施工决定的，由作</w:t>
      </w:r>
      <w:r>
        <w:rPr>
          <w:spacing w:val="-12"/>
        </w:rPr>
        <w:t>出决定的部门或者机构强制执行。</w:t>
      </w:r>
    </w:p>
    <w:p>
      <w:pPr>
        <w:pStyle w:val="BodyText"/>
        <w:spacing w:line="343" w:lineRule="auto"/>
        <w:ind w:right="206" w:firstLine="456"/>
        <w:jc w:val="right"/>
      </w:pPr>
      <w:r>
        <w:rPr>
          <w:spacing w:val="-18"/>
        </w:rPr>
        <w:t>责令停产停业，对经济和社会生活影响较大的，由住房和城</w:t>
      </w:r>
      <w:r>
        <w:rPr>
          <w:spacing w:val="-13"/>
        </w:rPr>
        <w:t>乡建设主管部门或者应急管理部门报请本级人民政府依法决定。</w:t>
      </w:r>
      <w:r>
        <w:rPr>
          <w:spacing w:val="-10"/>
        </w:rPr>
        <w:t>第七十一条 住房和城乡建设主管部门、消防救援机构的工</w:t>
      </w:r>
    </w:p>
    <w:p>
      <w:pPr>
        <w:pStyle w:val="BodyText"/>
        <w:spacing w:line="345" w:lineRule="auto"/>
        <w:ind w:right="227"/>
      </w:pPr>
      <w:r>
        <w:rPr>
          <w:spacing w:val="-17"/>
        </w:rPr>
        <w:t>作人员滥用职权、玩忽职守、徇私舞弊，有下列行为之一，尚不</w:t>
      </w:r>
      <w:r>
        <w:rPr>
          <w:spacing w:val="-12"/>
        </w:rPr>
        <w:t>构成犯罪的，依法给予处分：</w:t>
      </w:r>
    </w:p>
    <w:p>
      <w:pPr>
        <w:pStyle w:val="BodyText"/>
        <w:spacing w:line="343" w:lineRule="auto"/>
        <w:ind w:right="230" w:firstLine="456"/>
      </w:pPr>
      <w:r>
        <w:rPr>
          <w:spacing w:val="-16"/>
        </w:rPr>
        <w:t>(一)对不符合消防安全要求的消防设计文件、建设工程、场</w:t>
      </w:r>
      <w:r>
        <w:rPr>
          <w:spacing w:val="-12"/>
        </w:rPr>
        <w:t>所准予审查合格、消防验收合格、消防安全检查合格的；</w:t>
      </w:r>
    </w:p>
    <w:p>
      <w:pPr>
        <w:pStyle w:val="BodyText"/>
        <w:spacing w:line="343" w:lineRule="auto"/>
        <w:ind w:right="227" w:firstLine="456"/>
      </w:pPr>
      <w:r>
        <w:rPr>
          <w:spacing w:val="-17"/>
        </w:rPr>
        <w:t>(二)无故拖延消防设计审查、消防验收、消防安全检查，不</w:t>
      </w:r>
      <w:r>
        <w:rPr>
          <w:spacing w:val="-12"/>
        </w:rPr>
        <w:t>在法定期限内履行职责的；</w:t>
      </w:r>
    </w:p>
    <w:p>
      <w:pPr>
        <w:pStyle w:val="BodyText"/>
        <w:spacing w:line="345" w:lineRule="auto"/>
        <w:ind w:left="656" w:right="227"/>
      </w:pPr>
      <w:r>
        <w:rPr>
          <w:spacing w:val="-12"/>
        </w:rPr>
        <w:t>(三)发现火灾隐患不及时通知有关单位或者个人整改的； </w:t>
      </w:r>
      <w:r>
        <w:rPr>
          <w:spacing w:val="-16"/>
        </w:rPr>
        <w:t>(四)利用职务为用户、建设单位指定或者变相指定消防产品</w:t>
      </w:r>
    </w:p>
    <w:p>
      <w:pPr>
        <w:pStyle w:val="BodyText"/>
        <w:spacing w:line="343" w:lineRule="auto"/>
        <w:ind w:left="656" w:right="170" w:hanging="456"/>
      </w:pPr>
      <w:r>
        <w:rPr>
          <w:spacing w:val="-27"/>
        </w:rPr>
        <w:t>的品牌、销售单位或者消防技术服务机构、消防设施施工单位的； </w:t>
      </w:r>
      <w:r>
        <w:rPr>
          <w:spacing w:val="-17"/>
        </w:rPr>
        <w:t>(五)将消防车、消防艇以及消防器材、装备和设施用于与消</w:t>
      </w:r>
    </w:p>
    <w:p>
      <w:pPr>
        <w:pStyle w:val="BodyText"/>
      </w:pPr>
      <w:r>
        <w:rPr/>
        <w:t>防和应急救援无关的事项的；</w:t>
      </w:r>
    </w:p>
    <w:p>
      <w:pPr>
        <w:pStyle w:val="BodyText"/>
        <w:spacing w:before="125"/>
        <w:ind w:left="656"/>
      </w:pPr>
      <w:r>
        <w:rPr/>
        <w:t>(六)其他滥用职权、玩忽职守、徇私舞弊的行为。</w:t>
      </w:r>
    </w:p>
    <w:p>
      <w:pPr>
        <w:spacing w:after="0"/>
        <w:sectPr>
          <w:pgSz w:w="8400" w:h="11910"/>
          <w:pgMar w:header="0" w:footer="870" w:top="1100" w:bottom="1060" w:left="820" w:right="780"/>
        </w:sectPr>
      </w:pPr>
    </w:p>
    <w:p>
      <w:pPr>
        <w:pStyle w:val="BodyText"/>
        <w:spacing w:line="343" w:lineRule="auto" w:before="161"/>
        <w:ind w:right="227" w:firstLine="456"/>
        <w:jc w:val="both"/>
      </w:pPr>
      <w:r>
        <w:rPr>
          <w:spacing w:val="-17"/>
        </w:rPr>
        <w:t>产品质量监督、工商行政管理等其他有关行政主管部门的工作人员在消防工作中滥用职权、玩忽职守、徇私舞弊，尚不构成犯罪的，依法给予处分。</w:t>
      </w:r>
    </w:p>
    <w:p>
      <w:pPr>
        <w:pStyle w:val="BodyText"/>
        <w:spacing w:before="1"/>
        <w:ind w:left="649"/>
        <w:jc w:val="both"/>
      </w:pPr>
      <w:r>
        <w:rPr>
          <w:spacing w:val="-29"/>
        </w:rPr>
        <w:t>第七十二条 违反本法规定，构成犯罪的，依法追宄刑事责任。</w:t>
      </w:r>
    </w:p>
    <w:p>
      <w:pPr>
        <w:pStyle w:val="Heading2"/>
        <w:spacing w:before="214"/>
        <w:ind w:right="38"/>
      </w:pPr>
      <w:r>
        <w:rPr/>
        <w:t>第七章 附则</w:t>
      </w:r>
    </w:p>
    <w:p>
      <w:pPr>
        <w:pStyle w:val="BodyText"/>
        <w:spacing w:before="207"/>
        <w:ind w:left="680"/>
        <w:jc w:val="both"/>
      </w:pPr>
      <w:r>
        <w:rPr/>
        <w:t>第七十三条 本法下列用语的含义：</w:t>
      </w:r>
    </w:p>
    <w:p>
      <w:pPr>
        <w:pStyle w:val="BodyText"/>
        <w:spacing w:line="312" w:lineRule="auto" w:before="94"/>
        <w:ind w:right="183" w:firstLine="480"/>
        <w:jc w:val="both"/>
      </w:pPr>
      <w:r>
        <w:rPr>
          <w:spacing w:val="-10"/>
        </w:rPr>
        <w:t>(一)消防设施，是指火灾自动报警系统、自动灭火系统、</w:t>
      </w:r>
      <w:r>
        <w:rPr/>
        <w:t>消火栓系统、防烟排烟系统以及应急广播和应急照明、安全疏散设施等。</w:t>
      </w:r>
    </w:p>
    <w:p>
      <w:pPr>
        <w:pStyle w:val="BodyText"/>
        <w:spacing w:line="312" w:lineRule="auto"/>
        <w:ind w:right="238" w:firstLine="480"/>
      </w:pPr>
      <w:r>
        <w:rPr/>
        <w:t>(二)消防产品，是指专门用于火灾预防、灭火救援和火灾防护、避难、逃生的产品。</w:t>
      </w:r>
    </w:p>
    <w:p>
      <w:pPr>
        <w:pStyle w:val="BodyText"/>
        <w:spacing w:line="312" w:lineRule="auto"/>
        <w:ind w:right="184" w:firstLine="480"/>
        <w:jc w:val="both"/>
      </w:pPr>
      <w:r>
        <w:rPr>
          <w:spacing w:val="-10"/>
        </w:rPr>
        <w:t>(三)公众聚集场所，是指宾馆、饭店、商场、集贸市场、</w:t>
      </w:r>
      <w:r>
        <w:rPr/>
        <w:t>客运车站候车室、客运码头候船厅、民用机场航站楼、体育场馆、会堂以及公共娱乐场所等。</w:t>
      </w:r>
    </w:p>
    <w:p>
      <w:pPr>
        <w:pStyle w:val="BodyText"/>
        <w:spacing w:line="312" w:lineRule="auto" w:before="1"/>
        <w:ind w:right="182" w:firstLine="480"/>
        <w:jc w:val="both"/>
      </w:pPr>
      <w:r>
        <w:rPr>
          <w:spacing w:val="-8"/>
        </w:rPr>
        <w:t>(四)人员密集场所，是指公众聚集场所，医院的门诊楼、</w:t>
      </w:r>
      <w:r>
        <w:rPr>
          <w:spacing w:val="-11"/>
        </w:rPr>
        <w:t>病房楼，学校的教学楼、图书馆、食堂和集体宿舍，养老院， </w:t>
      </w:r>
      <w:r>
        <w:rPr/>
        <w:t>福利院，托儿所，幼儿园，公共图书馆的阅览室，公共展览馆、博物馆的展示厅，劳动密集型企业的生产加工车间和员工集体宿舍，旅游、宗教活动场所等。</w:t>
      </w:r>
    </w:p>
    <w:p>
      <w:pPr>
        <w:pStyle w:val="BodyText"/>
        <w:spacing w:before="1"/>
        <w:ind w:left="680"/>
        <w:jc w:val="both"/>
      </w:pPr>
      <w:r>
        <w:rPr/>
        <w:t>第七十四条 本法自 2019 年 4 月 23 日起施行。</w:t>
      </w:r>
    </w:p>
    <w:p>
      <w:pPr>
        <w:spacing w:after="0"/>
        <w:jc w:val="both"/>
        <w:sectPr>
          <w:pgSz w:w="8400" w:h="11910"/>
          <w:pgMar w:header="0" w:footer="870" w:top="1100" w:bottom="1060" w:left="820" w:right="780"/>
        </w:sectPr>
      </w:pPr>
    </w:p>
    <w:p>
      <w:pPr>
        <w:pStyle w:val="Heading2"/>
        <w:spacing w:before="104"/>
        <w:ind w:left="200"/>
        <w:jc w:val="left"/>
      </w:pPr>
      <w:bookmarkStart w:name="_bookmark28" w:id="29"/>
      <w:bookmarkEnd w:id="29"/>
      <w:r>
        <w:rPr>
          <w:b w:val="0"/>
        </w:rPr>
      </w:r>
      <w:r>
        <w:rPr/>
        <w:t>附件六：《消防安全责任制实施办法》</w:t>
      </w:r>
    </w:p>
    <w:p>
      <w:pPr>
        <w:spacing w:before="198"/>
        <w:ind w:left="0" w:right="38" w:firstLine="0"/>
        <w:jc w:val="center"/>
        <w:rPr>
          <w:b/>
          <w:sz w:val="28"/>
        </w:rPr>
      </w:pPr>
      <w:r>
        <w:rPr>
          <w:b/>
          <w:sz w:val="28"/>
        </w:rPr>
        <w:t>第一章 总则</w:t>
      </w:r>
    </w:p>
    <w:p>
      <w:pPr>
        <w:pStyle w:val="BodyText"/>
        <w:spacing w:line="259" w:lineRule="auto" w:before="130"/>
        <w:ind w:right="235" w:firstLine="453"/>
        <w:jc w:val="both"/>
        <w:rPr>
          <w:rFonts w:ascii="宋体" w:eastAsia="宋体" w:hint="eastAsia"/>
        </w:rPr>
      </w:pPr>
      <w:r>
        <w:rPr>
          <w:rFonts w:ascii="Microsoft JhengHei" w:eastAsia="Microsoft JhengHei" w:hint="eastAsia"/>
          <w:b/>
          <w:color w:val="333333"/>
          <w:spacing w:val="1"/>
        </w:rPr>
        <w:t>第一条 </w:t>
      </w:r>
      <w:r>
        <w:rPr>
          <w:rFonts w:ascii="宋体" w:eastAsia="宋体" w:hint="eastAsia"/>
          <w:color w:val="333333"/>
          <w:spacing w:val="-11"/>
        </w:rPr>
        <w:t>为深入贯彻《中华人民共和国消防法》、《中华</w:t>
      </w:r>
      <w:r>
        <w:rPr>
          <w:rFonts w:ascii="宋体" w:eastAsia="宋体" w:hint="eastAsia"/>
          <w:color w:val="333333"/>
        </w:rPr>
        <w:t>人民共和国安全生产法》和党中央、国务院关于安全生产及</w:t>
      </w:r>
    </w:p>
    <w:p>
      <w:pPr>
        <w:pStyle w:val="BodyText"/>
        <w:spacing w:line="312" w:lineRule="auto" w:before="70"/>
        <w:ind w:right="235"/>
        <w:jc w:val="both"/>
        <w:rPr>
          <w:rFonts w:ascii="宋体" w:eastAsia="宋体" w:hint="eastAsia"/>
        </w:rPr>
      </w:pPr>
      <w:r>
        <w:rPr>
          <w:rFonts w:ascii="宋体" w:eastAsia="宋体" w:hint="eastAsia"/>
          <w:color w:val="333333"/>
        </w:rPr>
        <w:t>消防安全的重要决策部署，按照政府统一领导、部门依法监管、单位全面负责、公民积极参与的原则，坚持党政同责、一岗双责、齐抓共管、失职追责，进一步健全消防安全责任制，提高公共消防安全水平，预防火灾和减少火灾危害，保障人民群众生命财产安全，制定本办法。</w:t>
      </w:r>
    </w:p>
    <w:p>
      <w:pPr>
        <w:pStyle w:val="BodyText"/>
        <w:spacing w:line="380" w:lineRule="exact"/>
        <w:ind w:left="690"/>
        <w:jc w:val="both"/>
        <w:rPr>
          <w:rFonts w:ascii="宋体" w:eastAsia="宋体" w:hint="eastAsia"/>
        </w:rPr>
      </w:pPr>
      <w:r>
        <w:rPr>
          <w:rFonts w:ascii="Microsoft JhengHei" w:eastAsia="Microsoft JhengHei" w:hint="eastAsia"/>
          <w:b/>
          <w:color w:val="333333"/>
        </w:rPr>
        <w:t>第二条 </w:t>
      </w:r>
      <w:r>
        <w:rPr>
          <w:rFonts w:ascii="宋体" w:eastAsia="宋体" w:hint="eastAsia"/>
          <w:color w:val="333333"/>
        </w:rPr>
        <w:t>地方各级人民政府负责本行政区域内的消防工</w:t>
      </w:r>
    </w:p>
    <w:p>
      <w:pPr>
        <w:pStyle w:val="BodyText"/>
        <w:spacing w:line="328" w:lineRule="auto" w:before="58"/>
        <w:ind w:right="235"/>
        <w:rPr>
          <w:rFonts w:ascii="宋体" w:eastAsia="宋体" w:hint="eastAsia"/>
        </w:rPr>
      </w:pPr>
      <w:r>
        <w:rPr>
          <w:rFonts w:ascii="宋体" w:eastAsia="宋体" w:hint="eastAsia"/>
          <w:color w:val="333333"/>
        </w:rPr>
        <w:t>作，政府主要负责人为第一责任人，分管负责人为主要责任人，班子其他成员对分管范围内的消防工作负领导责任。</w:t>
      </w:r>
    </w:p>
    <w:p>
      <w:pPr>
        <w:pStyle w:val="BodyText"/>
        <w:spacing w:line="360" w:lineRule="exact"/>
        <w:ind w:left="690"/>
        <w:jc w:val="both"/>
        <w:rPr>
          <w:rFonts w:ascii="宋体" w:eastAsia="宋体" w:hint="eastAsia"/>
        </w:rPr>
      </w:pPr>
      <w:r>
        <w:rPr>
          <w:rFonts w:ascii="Microsoft JhengHei" w:eastAsia="Microsoft JhengHei" w:hint="eastAsia"/>
          <w:b/>
          <w:color w:val="333333"/>
        </w:rPr>
        <w:t>第三条 </w:t>
      </w:r>
      <w:r>
        <w:rPr>
          <w:rFonts w:ascii="宋体" w:eastAsia="宋体" w:hint="eastAsia"/>
          <w:color w:val="333333"/>
        </w:rPr>
        <w:t>国务院公安部门对全国的消防工作实施监督管</w:t>
      </w:r>
    </w:p>
    <w:p>
      <w:pPr>
        <w:pStyle w:val="BodyText"/>
        <w:spacing w:line="328" w:lineRule="auto" w:before="58"/>
        <w:ind w:right="235"/>
        <w:jc w:val="both"/>
        <w:rPr>
          <w:rFonts w:ascii="宋体" w:eastAsia="宋体" w:hint="eastAsia"/>
        </w:rPr>
      </w:pPr>
      <w:r>
        <w:rPr>
          <w:rFonts w:ascii="宋体" w:eastAsia="宋体" w:hint="eastAsia"/>
          <w:color w:val="333333"/>
        </w:rPr>
        <w:t>理。县级以上地方人民政府公安机关对本行政区域内的消防工作实施监督管理。县级以上人民政府其他有关部门按照管行业必须管安全、管业务必须管安全、管生产经营必须管安全的要求，在各自职责范围内依法依规做好本行业、本系统的消防安全工作。</w:t>
      </w:r>
    </w:p>
    <w:p>
      <w:pPr>
        <w:pStyle w:val="BodyText"/>
        <w:spacing w:line="356" w:lineRule="exact"/>
        <w:ind w:left="690"/>
        <w:jc w:val="both"/>
        <w:rPr>
          <w:rFonts w:ascii="宋体" w:eastAsia="宋体" w:hint="eastAsia"/>
        </w:rPr>
      </w:pPr>
      <w:r>
        <w:rPr>
          <w:rFonts w:ascii="Microsoft JhengHei" w:eastAsia="Microsoft JhengHei" w:hint="eastAsia"/>
          <w:b/>
          <w:color w:val="333333"/>
        </w:rPr>
        <w:t>第四条 </w:t>
      </w:r>
      <w:r>
        <w:rPr>
          <w:rFonts w:ascii="宋体" w:eastAsia="宋体" w:hint="eastAsia"/>
          <w:color w:val="333333"/>
        </w:rPr>
        <w:t>坚持安全自查、隐患自除、责任自负。机关、</w:t>
      </w:r>
    </w:p>
    <w:p>
      <w:pPr>
        <w:pStyle w:val="BodyText"/>
        <w:spacing w:line="328" w:lineRule="auto" w:before="59"/>
        <w:ind w:right="235"/>
        <w:jc w:val="both"/>
        <w:rPr>
          <w:rFonts w:ascii="宋体" w:eastAsia="宋体" w:hint="eastAsia"/>
        </w:rPr>
      </w:pPr>
      <w:r>
        <w:rPr>
          <w:rFonts w:ascii="宋体" w:eastAsia="宋体" w:hint="eastAsia"/>
          <w:color w:val="333333"/>
        </w:rPr>
        <w:t>团体、企业、事业等单位是消防安全的责任主体，法定代表人、主要负责人或实际控制人是本单位、本场所消防安全责任人，对本单位、本场所消防安全全面负责。</w:t>
      </w:r>
    </w:p>
    <w:p>
      <w:pPr>
        <w:spacing w:after="0" w:line="328" w:lineRule="auto"/>
        <w:jc w:val="both"/>
        <w:rPr>
          <w:rFonts w:ascii="宋体" w:eastAsia="宋体" w:hint="eastAsia"/>
        </w:rPr>
        <w:sectPr>
          <w:pgSz w:w="8400" w:h="11910"/>
          <w:pgMar w:header="0" w:footer="870" w:top="1100" w:bottom="1060" w:left="820" w:right="780"/>
        </w:sectPr>
      </w:pPr>
    </w:p>
    <w:p>
      <w:pPr>
        <w:pStyle w:val="BodyText"/>
        <w:spacing w:line="312" w:lineRule="auto" w:before="127"/>
        <w:ind w:right="233" w:firstLine="489"/>
        <w:rPr>
          <w:rFonts w:ascii="宋体" w:eastAsia="宋体" w:hint="eastAsia"/>
        </w:rPr>
      </w:pPr>
      <w:r>
        <w:rPr>
          <w:rFonts w:ascii="宋体" w:eastAsia="宋体" w:hint="eastAsia"/>
          <w:color w:val="333333"/>
        </w:rPr>
        <w:t>消防安全重点单位应当确定消防安全管理人，组织实施本单位的消防安全管理工作。</w:t>
      </w:r>
    </w:p>
    <w:p>
      <w:pPr>
        <w:pStyle w:val="BodyText"/>
        <w:tabs>
          <w:tab w:pos="1672" w:val="left" w:leader="none"/>
        </w:tabs>
        <w:spacing w:line="364" w:lineRule="exact"/>
        <w:ind w:left="690"/>
        <w:rPr>
          <w:rFonts w:ascii="宋体" w:eastAsia="宋体" w:hint="eastAsia"/>
        </w:rPr>
      </w:pPr>
      <w:r>
        <w:rPr>
          <w:rFonts w:ascii="Microsoft JhengHei" w:eastAsia="Microsoft JhengHei" w:hint="eastAsia"/>
          <w:b/>
          <w:color w:val="333333"/>
          <w:spacing w:val="4"/>
        </w:rPr>
        <w:t>第五</w:t>
      </w:r>
      <w:r>
        <w:rPr>
          <w:rFonts w:ascii="Microsoft JhengHei" w:eastAsia="Microsoft JhengHei" w:hint="eastAsia"/>
          <w:b/>
          <w:color w:val="333333"/>
        </w:rPr>
        <w:t>条</w:t>
        <w:tab/>
      </w:r>
      <w:r>
        <w:rPr>
          <w:rFonts w:ascii="宋体" w:eastAsia="宋体" w:hint="eastAsia"/>
          <w:color w:val="333333"/>
          <w:spacing w:val="4"/>
        </w:rPr>
        <w:t>坚</w:t>
      </w:r>
      <w:r>
        <w:rPr>
          <w:rFonts w:ascii="宋体" w:eastAsia="宋体" w:hint="eastAsia"/>
          <w:color w:val="333333"/>
        </w:rPr>
        <w:t>持</w:t>
      </w:r>
      <w:r>
        <w:rPr>
          <w:rFonts w:ascii="宋体" w:eastAsia="宋体" w:hint="eastAsia"/>
          <w:color w:val="333333"/>
          <w:spacing w:val="4"/>
        </w:rPr>
        <w:t>权</w:t>
      </w:r>
      <w:r>
        <w:rPr>
          <w:rFonts w:ascii="宋体" w:eastAsia="宋体" w:hint="eastAsia"/>
          <w:color w:val="333333"/>
        </w:rPr>
        <w:t>责</w:t>
      </w:r>
      <w:r>
        <w:rPr>
          <w:rFonts w:ascii="宋体" w:eastAsia="宋体" w:hint="eastAsia"/>
          <w:color w:val="333333"/>
          <w:spacing w:val="4"/>
        </w:rPr>
        <w:t>一致、依法履</w:t>
      </w:r>
      <w:r>
        <w:rPr>
          <w:rFonts w:ascii="宋体" w:eastAsia="宋体" w:hint="eastAsia"/>
          <w:color w:val="333333"/>
        </w:rPr>
        <w:t>职</w:t>
      </w:r>
      <w:r>
        <w:rPr>
          <w:rFonts w:ascii="宋体" w:eastAsia="宋体" w:hint="eastAsia"/>
          <w:color w:val="333333"/>
          <w:spacing w:val="4"/>
        </w:rPr>
        <w:t>、失</w:t>
      </w:r>
      <w:r>
        <w:rPr>
          <w:rFonts w:ascii="宋体" w:eastAsia="宋体" w:hint="eastAsia"/>
          <w:color w:val="333333"/>
        </w:rPr>
        <w:t>职</w:t>
      </w:r>
      <w:r>
        <w:rPr>
          <w:rFonts w:ascii="宋体" w:eastAsia="宋体" w:hint="eastAsia"/>
          <w:color w:val="333333"/>
          <w:spacing w:val="4"/>
        </w:rPr>
        <w:t>追责。对不</w:t>
      </w:r>
      <w:r>
        <w:rPr>
          <w:rFonts w:ascii="宋体" w:eastAsia="宋体" w:hint="eastAsia"/>
          <w:color w:val="333333"/>
        </w:rPr>
        <w:t>履</w:t>
      </w:r>
    </w:p>
    <w:p>
      <w:pPr>
        <w:pStyle w:val="BodyText"/>
        <w:spacing w:line="312" w:lineRule="auto" w:before="37"/>
        <w:ind w:right="235"/>
        <w:rPr>
          <w:rFonts w:ascii="宋体" w:eastAsia="宋体" w:hint="eastAsia"/>
        </w:rPr>
      </w:pPr>
      <w:r>
        <w:rPr>
          <w:rFonts w:ascii="宋体" w:eastAsia="宋体" w:hint="eastAsia"/>
          <w:color w:val="333333"/>
        </w:rPr>
        <w:t>行或不按规定履行消防安全职责的单位和个人，依法依规追究责任。</w:t>
      </w:r>
    </w:p>
    <w:p>
      <w:pPr>
        <w:pStyle w:val="Heading2"/>
        <w:spacing w:before="115"/>
        <w:ind w:right="44"/>
      </w:pPr>
      <w:r>
        <w:rPr/>
        <w:t>第二章 地方各级人民政府消防工作职责</w:t>
      </w:r>
    </w:p>
    <w:p>
      <w:pPr>
        <w:pStyle w:val="BodyText"/>
        <w:spacing w:line="261" w:lineRule="auto" w:before="129"/>
        <w:ind w:right="243" w:firstLine="482"/>
        <w:jc w:val="both"/>
        <w:rPr>
          <w:rFonts w:ascii="宋体" w:eastAsia="宋体" w:hint="eastAsia"/>
        </w:rPr>
      </w:pPr>
      <w:r>
        <w:rPr>
          <w:rFonts w:ascii="Microsoft JhengHei" w:eastAsia="Microsoft JhengHei" w:hint="eastAsia"/>
          <w:b/>
          <w:color w:val="333333"/>
        </w:rPr>
        <w:t>第六条 </w:t>
      </w:r>
      <w:r>
        <w:rPr>
          <w:rFonts w:ascii="宋体" w:eastAsia="宋体" w:hint="eastAsia"/>
          <w:color w:val="333333"/>
        </w:rPr>
        <w:t>县级以上地方各级人民政府应当落实消防工作责任制，履行下列职责：</w:t>
      </w:r>
    </w:p>
    <w:p>
      <w:pPr>
        <w:pStyle w:val="BodyText"/>
        <w:spacing w:line="312" w:lineRule="auto" w:before="62"/>
        <w:ind w:right="235" w:firstLine="508"/>
        <w:jc w:val="both"/>
        <w:rPr>
          <w:rFonts w:ascii="宋体" w:eastAsia="宋体" w:hint="eastAsia"/>
        </w:rPr>
      </w:pPr>
      <w:r>
        <w:rPr>
          <w:rFonts w:ascii="宋体" w:eastAsia="宋体" w:hint="eastAsia"/>
          <w:color w:val="333333"/>
        </w:rPr>
        <w:t>(一)贯彻执行国家法律法规和方针政策，以及上级党委、政府关于消防工作的部署要求，全面负责本地区消防工作，每年召开消防工作会议，研究部署本地区消防工作重大事项。每年向上级人民政府专题报告本地区消防工作情况。健全由政府主要负责人或分管负责人牵头的消防工作协调机制，推动落实消防工作责任。</w:t>
      </w:r>
    </w:p>
    <w:p>
      <w:pPr>
        <w:pStyle w:val="BodyText"/>
        <w:spacing w:line="312" w:lineRule="auto" w:before="2"/>
        <w:ind w:right="226" w:firstLine="489"/>
        <w:jc w:val="both"/>
        <w:rPr>
          <w:rFonts w:ascii="宋体" w:eastAsia="宋体" w:hint="eastAsia"/>
        </w:rPr>
      </w:pPr>
      <w:r>
        <w:rPr>
          <w:rFonts w:ascii="宋体" w:eastAsia="宋体" w:hint="eastAsia"/>
          <w:color w:val="333333"/>
        </w:rPr>
        <w:t>(二)将消防工作纳入经济社会发展总体规划，将包括消防安全布局、消防站、消防供水、消防通信、消防车通道、消防装备等内容的消防规划纳入城乡规划，并负责组织实施，确保消防工作与经济社会发展相适应。</w:t>
      </w:r>
    </w:p>
    <w:p>
      <w:pPr>
        <w:pStyle w:val="BodyText"/>
        <w:spacing w:line="297" w:lineRule="auto"/>
        <w:ind w:right="235" w:firstLine="508"/>
        <w:jc w:val="both"/>
        <w:rPr>
          <w:rFonts w:ascii="宋体" w:eastAsia="宋体" w:hint="eastAsia"/>
        </w:rPr>
      </w:pPr>
      <w:r>
        <w:rPr>
          <w:rFonts w:ascii="宋体" w:eastAsia="宋体" w:hint="eastAsia"/>
          <w:color w:val="333333"/>
        </w:rPr>
        <w:t>(三)督促所属部门和下级人民政府落实消防安全责任制，在农业收获季节、森林和草原防火期间、重大节假日和重要活动期间以及火灾多发季节，组织开展消防安全检查。推动消防科学研究和技术创新，推广使用先进消防和应急救援技术、设备。组织开展经常性的消防宣传工作。大力发展</w:t>
      </w:r>
    </w:p>
    <w:p>
      <w:pPr>
        <w:spacing w:after="0" w:line="297" w:lineRule="auto"/>
        <w:jc w:val="both"/>
        <w:rPr>
          <w:rFonts w:ascii="宋体" w:eastAsia="宋体" w:hint="eastAsia"/>
        </w:rPr>
        <w:sectPr>
          <w:pgSz w:w="8400" w:h="11910"/>
          <w:pgMar w:header="0" w:footer="870" w:top="1100" w:bottom="1060" w:left="820" w:right="780"/>
        </w:sectPr>
      </w:pPr>
    </w:p>
    <w:p>
      <w:pPr>
        <w:pStyle w:val="BodyText"/>
        <w:spacing w:line="297" w:lineRule="auto" w:before="113"/>
        <w:ind w:right="243"/>
        <w:rPr>
          <w:rFonts w:ascii="宋体" w:eastAsia="宋体" w:hint="eastAsia"/>
        </w:rPr>
      </w:pPr>
      <w:r>
        <w:rPr>
          <w:rFonts w:ascii="宋体" w:eastAsia="宋体" w:hint="eastAsia"/>
          <w:color w:val="333333"/>
        </w:rPr>
        <w:t>消防公益事业。采取政府购买公共服务等方式，推进消防教育培训、技术服务和物防、技防等工作。</w:t>
      </w:r>
    </w:p>
    <w:p>
      <w:pPr>
        <w:pStyle w:val="BodyText"/>
        <w:spacing w:line="297" w:lineRule="auto"/>
        <w:ind w:right="235" w:firstLine="489"/>
        <w:jc w:val="both"/>
        <w:rPr>
          <w:rFonts w:ascii="宋体" w:eastAsia="宋体" w:hint="eastAsia"/>
        </w:rPr>
      </w:pPr>
      <w:r>
        <w:rPr>
          <w:rFonts w:ascii="宋体" w:eastAsia="宋体" w:hint="eastAsia"/>
          <w:color w:val="333333"/>
        </w:rPr>
        <w:t>(四)建立常态化火灾隐患排查整治机制，组织实施重大火灾隐患和区域性火灾隐患整治工作。实行重大火灾隐患挂牌督办制度。对报请挂牌督办的重大火灾隐患和停产停业整改报告，在 7 个工作日内作出同意或不同意的决定，并组织有关部门督促隐患单位采取措施予以整改。</w:t>
      </w:r>
    </w:p>
    <w:p>
      <w:pPr>
        <w:pStyle w:val="BodyText"/>
        <w:spacing w:line="297" w:lineRule="auto"/>
        <w:ind w:right="235" w:firstLine="489"/>
        <w:jc w:val="both"/>
        <w:rPr>
          <w:rFonts w:ascii="宋体" w:eastAsia="宋体" w:hint="eastAsia"/>
        </w:rPr>
      </w:pPr>
      <w:r>
        <w:rPr>
          <w:rFonts w:ascii="宋体" w:eastAsia="宋体" w:hint="eastAsia"/>
          <w:color w:val="333333"/>
        </w:rPr>
        <w:t>(五)依法建立公安消防队和政府专职消防队。明确政府专职消防队公益属性，采取招聘、购买服务等方式招录政府专职消防队员，建设营房，配齐装备；按规定落实其工资、保险和相关福利待遇。</w:t>
      </w:r>
    </w:p>
    <w:p>
      <w:pPr>
        <w:pStyle w:val="BodyText"/>
        <w:spacing w:line="297" w:lineRule="auto"/>
        <w:ind w:right="235" w:firstLine="489"/>
        <w:jc w:val="both"/>
        <w:rPr>
          <w:rFonts w:ascii="宋体" w:eastAsia="宋体" w:hint="eastAsia"/>
        </w:rPr>
      </w:pPr>
      <w:r>
        <w:rPr>
          <w:rFonts w:ascii="宋体" w:eastAsia="宋体" w:hint="eastAsia"/>
          <w:color w:val="333333"/>
        </w:rPr>
        <w:t>(六)组织领导火灾扑救和应急救援工作。组织制定灭火救援应急预案，定期组织开展演练；建立灭火救援社会联动和应急反应处臵机制，落实人员、装备、经费和灭火药剂等保障，根据需要调集灭火救援所需工程机械和特殊装备。</w:t>
      </w:r>
    </w:p>
    <w:p>
      <w:pPr>
        <w:pStyle w:val="BodyText"/>
        <w:spacing w:line="299" w:lineRule="exact"/>
        <w:ind w:left="680"/>
        <w:rPr>
          <w:rFonts w:ascii="宋体" w:eastAsia="宋体" w:hint="eastAsia"/>
        </w:rPr>
      </w:pPr>
      <w:r>
        <w:rPr>
          <w:rFonts w:ascii="宋体" w:eastAsia="宋体" w:hint="eastAsia"/>
          <w:color w:val="333333"/>
        </w:rPr>
        <w:t>(七)法律、法规、规章规定的其他消防工作职责。</w:t>
      </w:r>
    </w:p>
    <w:p>
      <w:pPr>
        <w:pStyle w:val="BodyText"/>
        <w:tabs>
          <w:tab w:pos="1672" w:val="left" w:leader="none"/>
        </w:tabs>
        <w:spacing w:line="249" w:lineRule="auto"/>
        <w:ind w:right="241" w:firstLine="489"/>
        <w:rPr>
          <w:rFonts w:ascii="宋体" w:eastAsia="宋体" w:hint="eastAsia"/>
        </w:rPr>
      </w:pPr>
      <w:r>
        <w:rPr>
          <w:rFonts w:ascii="Microsoft JhengHei" w:eastAsia="Microsoft JhengHei" w:hint="eastAsia"/>
          <w:b/>
          <w:color w:val="333333"/>
          <w:spacing w:val="4"/>
        </w:rPr>
        <w:t>第七</w:t>
      </w:r>
      <w:r>
        <w:rPr>
          <w:rFonts w:ascii="Microsoft JhengHei" w:eastAsia="Microsoft JhengHei" w:hint="eastAsia"/>
          <w:b/>
          <w:color w:val="333333"/>
        </w:rPr>
        <w:t>条</w:t>
        <w:tab/>
      </w:r>
      <w:r>
        <w:rPr>
          <w:rFonts w:ascii="宋体" w:eastAsia="宋体" w:hint="eastAsia"/>
          <w:color w:val="333333"/>
          <w:spacing w:val="4"/>
        </w:rPr>
        <w:t>省</w:t>
      </w:r>
      <w:r>
        <w:rPr>
          <w:rFonts w:ascii="宋体" w:eastAsia="宋体" w:hint="eastAsia"/>
          <w:color w:val="333333"/>
        </w:rPr>
        <w:t>、</w:t>
      </w:r>
      <w:r>
        <w:rPr>
          <w:rFonts w:ascii="宋体" w:eastAsia="宋体" w:hint="eastAsia"/>
          <w:color w:val="333333"/>
          <w:spacing w:val="4"/>
        </w:rPr>
        <w:t>自</w:t>
      </w:r>
      <w:r>
        <w:rPr>
          <w:rFonts w:ascii="宋体" w:eastAsia="宋体" w:hint="eastAsia"/>
          <w:color w:val="333333"/>
        </w:rPr>
        <w:t>治</w:t>
      </w:r>
      <w:r>
        <w:rPr>
          <w:rFonts w:ascii="宋体" w:eastAsia="宋体" w:hint="eastAsia"/>
          <w:color w:val="333333"/>
          <w:spacing w:val="4"/>
        </w:rPr>
        <w:t>区、直辖市人</w:t>
      </w:r>
      <w:r>
        <w:rPr>
          <w:rFonts w:ascii="宋体" w:eastAsia="宋体" w:hint="eastAsia"/>
          <w:color w:val="333333"/>
        </w:rPr>
        <w:t>民</w:t>
      </w:r>
      <w:r>
        <w:rPr>
          <w:rFonts w:ascii="宋体" w:eastAsia="宋体" w:hint="eastAsia"/>
          <w:color w:val="333333"/>
          <w:spacing w:val="4"/>
        </w:rPr>
        <w:t>政府</w:t>
      </w:r>
      <w:r>
        <w:rPr>
          <w:rFonts w:ascii="宋体" w:eastAsia="宋体" w:hint="eastAsia"/>
          <w:color w:val="333333"/>
        </w:rPr>
        <w:t>除</w:t>
      </w:r>
      <w:r>
        <w:rPr>
          <w:rFonts w:ascii="宋体" w:eastAsia="宋体" w:hint="eastAsia"/>
          <w:color w:val="333333"/>
          <w:spacing w:val="4"/>
        </w:rPr>
        <w:t>履行第六条</w:t>
      </w:r>
      <w:r>
        <w:rPr>
          <w:rFonts w:ascii="宋体" w:eastAsia="宋体" w:hint="eastAsia"/>
          <w:color w:val="333333"/>
        </w:rPr>
        <w:t>规定的职责外，还应当履行下列职责：</w:t>
      </w:r>
    </w:p>
    <w:p>
      <w:pPr>
        <w:pStyle w:val="BodyText"/>
        <w:spacing w:line="297" w:lineRule="auto" w:before="43"/>
        <w:ind w:right="242" w:firstLine="489"/>
        <w:rPr>
          <w:rFonts w:ascii="宋体" w:eastAsia="宋体" w:hint="eastAsia"/>
        </w:rPr>
      </w:pPr>
      <w:r>
        <w:rPr>
          <w:rFonts w:ascii="宋体" w:eastAsia="宋体" w:hint="eastAsia"/>
          <w:color w:val="333333"/>
        </w:rPr>
        <w:t>(一)定期召开政府常务会议、办公会议，研究部署消防工作。</w:t>
      </w:r>
    </w:p>
    <w:p>
      <w:pPr>
        <w:pStyle w:val="BodyText"/>
        <w:spacing w:line="297" w:lineRule="auto"/>
        <w:ind w:right="235" w:firstLine="489"/>
        <w:jc w:val="both"/>
        <w:rPr>
          <w:rFonts w:ascii="宋体" w:eastAsia="宋体" w:hint="eastAsia"/>
        </w:rPr>
      </w:pPr>
      <w:r>
        <w:rPr>
          <w:rFonts w:ascii="宋体" w:eastAsia="宋体" w:hint="eastAsia"/>
          <w:color w:val="333333"/>
        </w:rPr>
        <w:t>(二)针对本地区消防安全特点和实际情况，及时提请同级人大及其常委会制定、修订地方性法规，组织制定、修订政府规章、规范性文件。</w:t>
      </w:r>
    </w:p>
    <w:p>
      <w:pPr>
        <w:pStyle w:val="BodyText"/>
        <w:spacing w:line="312" w:lineRule="auto" w:before="9"/>
        <w:ind w:right="242" w:firstLine="489"/>
        <w:rPr>
          <w:rFonts w:ascii="宋体" w:eastAsia="宋体" w:hint="eastAsia"/>
        </w:rPr>
      </w:pPr>
      <w:r>
        <w:rPr>
          <w:rFonts w:ascii="宋体" w:eastAsia="宋体" w:hint="eastAsia"/>
          <w:color w:val="333333"/>
        </w:rPr>
        <w:t>(三)将消防安全的总体要求纳入城市总体规划，并严格审核。</w:t>
      </w:r>
    </w:p>
    <w:p>
      <w:pPr>
        <w:spacing w:after="0" w:line="312" w:lineRule="auto"/>
        <w:rPr>
          <w:rFonts w:ascii="宋体" w:eastAsia="宋体" w:hint="eastAsia"/>
        </w:rPr>
        <w:sectPr>
          <w:pgSz w:w="8400" w:h="11910"/>
          <w:pgMar w:header="0" w:footer="870" w:top="1100" w:bottom="1060" w:left="820" w:right="780"/>
        </w:sectPr>
      </w:pPr>
    </w:p>
    <w:p>
      <w:pPr>
        <w:pStyle w:val="BodyText"/>
        <w:spacing w:before="127"/>
        <w:ind w:left="680"/>
        <w:rPr>
          <w:rFonts w:ascii="宋体" w:eastAsia="宋体" w:hint="eastAsia"/>
        </w:rPr>
      </w:pPr>
      <w:r>
        <w:rPr>
          <w:rFonts w:ascii="宋体" w:eastAsia="宋体" w:hint="eastAsia"/>
          <w:color w:val="333333"/>
        </w:rPr>
        <w:t>(四)加大消防投入，保障消防事业发展所需经费。</w:t>
      </w:r>
    </w:p>
    <w:p>
      <w:pPr>
        <w:pStyle w:val="BodyText"/>
        <w:tabs>
          <w:tab w:pos="1734" w:val="left" w:leader="none"/>
        </w:tabs>
        <w:spacing w:line="261" w:lineRule="auto" w:before="14"/>
        <w:ind w:right="243" w:firstLine="508"/>
        <w:rPr>
          <w:rFonts w:ascii="宋体" w:eastAsia="宋体" w:hint="eastAsia"/>
        </w:rPr>
      </w:pPr>
      <w:r>
        <w:rPr>
          <w:rFonts w:ascii="Microsoft JhengHei" w:eastAsia="Microsoft JhengHei" w:hint="eastAsia"/>
          <w:b/>
          <w:color w:val="333333"/>
          <w:spacing w:val="16"/>
        </w:rPr>
        <w:t>第</w:t>
      </w:r>
      <w:r>
        <w:rPr>
          <w:rFonts w:ascii="Microsoft JhengHei" w:eastAsia="Microsoft JhengHei" w:hint="eastAsia"/>
          <w:b/>
          <w:color w:val="333333"/>
          <w:spacing w:val="14"/>
        </w:rPr>
        <w:t>八</w:t>
      </w:r>
      <w:r>
        <w:rPr>
          <w:rFonts w:ascii="Microsoft JhengHei" w:eastAsia="Microsoft JhengHei" w:hint="eastAsia"/>
          <w:b/>
          <w:color w:val="333333"/>
        </w:rPr>
        <w:t>条</w:t>
        <w:tab/>
      </w:r>
      <w:r>
        <w:rPr>
          <w:rFonts w:ascii="宋体" w:eastAsia="宋体" w:hint="eastAsia"/>
          <w:color w:val="333333"/>
          <w:spacing w:val="14"/>
        </w:rPr>
        <w:t>市、</w:t>
      </w:r>
      <w:r>
        <w:rPr>
          <w:rFonts w:ascii="宋体" w:eastAsia="宋体" w:hint="eastAsia"/>
          <w:color w:val="333333"/>
          <w:spacing w:val="11"/>
        </w:rPr>
        <w:t>县</w:t>
      </w:r>
      <w:r>
        <w:rPr>
          <w:rFonts w:ascii="宋体" w:eastAsia="宋体" w:hint="eastAsia"/>
          <w:color w:val="333333"/>
          <w:spacing w:val="14"/>
        </w:rPr>
        <w:t>级人民政府除履行第六条规定的职</w:t>
      </w:r>
      <w:r>
        <w:rPr>
          <w:rFonts w:ascii="宋体" w:eastAsia="宋体" w:hint="eastAsia"/>
          <w:color w:val="333333"/>
          <w:spacing w:val="-14"/>
        </w:rPr>
        <w:t>责</w:t>
      </w:r>
      <w:r>
        <w:rPr>
          <w:rFonts w:ascii="宋体" w:eastAsia="宋体" w:hint="eastAsia"/>
          <w:color w:val="333333"/>
        </w:rPr>
        <w:t>外，还应当履行下列职责：</w:t>
      </w:r>
    </w:p>
    <w:p>
      <w:pPr>
        <w:pStyle w:val="BodyText"/>
        <w:spacing w:line="312" w:lineRule="auto" w:before="63"/>
        <w:ind w:right="242" w:firstLine="489"/>
        <w:rPr>
          <w:rFonts w:ascii="宋体" w:eastAsia="宋体" w:hint="eastAsia"/>
        </w:rPr>
      </w:pPr>
      <w:r>
        <w:rPr>
          <w:rFonts w:ascii="宋体" w:eastAsia="宋体" w:hint="eastAsia"/>
          <w:color w:val="333333"/>
        </w:rPr>
        <w:t>(一)定期召开政府常务会议、办公会议，研究部署消防工作。</w:t>
      </w:r>
    </w:p>
    <w:p>
      <w:pPr>
        <w:pStyle w:val="BodyText"/>
        <w:spacing w:line="312" w:lineRule="auto" w:before="2"/>
        <w:ind w:right="235" w:firstLine="508"/>
        <w:jc w:val="both"/>
        <w:rPr>
          <w:rFonts w:ascii="宋体" w:eastAsia="宋体" w:hint="eastAsia"/>
        </w:rPr>
      </w:pPr>
      <w:r>
        <w:rPr>
          <w:rFonts w:ascii="宋体" w:eastAsia="宋体" w:hint="eastAsia"/>
          <w:color w:val="333333"/>
        </w:rPr>
        <w:t>(二)科学编制和严格落实城乡消防规划，预留消防队站、训练设施等建设用地。加强消防水源建设，按照规定建设市政消防供水设施，制定市政消防水源管理办法，明确建设、管理维护部门和单位。</w:t>
      </w:r>
    </w:p>
    <w:p>
      <w:pPr>
        <w:pStyle w:val="BodyText"/>
        <w:spacing w:line="312" w:lineRule="auto"/>
        <w:ind w:right="235" w:firstLine="489"/>
        <w:jc w:val="both"/>
        <w:rPr>
          <w:rFonts w:ascii="宋体" w:eastAsia="宋体" w:hint="eastAsia"/>
        </w:rPr>
      </w:pPr>
      <w:r>
        <w:rPr>
          <w:rFonts w:ascii="宋体" w:eastAsia="宋体" w:hint="eastAsia"/>
          <w:color w:val="333333"/>
        </w:rPr>
        <w:t>(三)在本级政府预算中安排必要的资金，保障消防站、消防供水、消防通信等公共消防设施和消防装备建设，促进消防事业发展。</w:t>
      </w:r>
    </w:p>
    <w:p>
      <w:pPr>
        <w:pStyle w:val="BodyText"/>
        <w:spacing w:line="312" w:lineRule="auto"/>
        <w:ind w:right="235" w:firstLine="489"/>
        <w:jc w:val="both"/>
        <w:rPr>
          <w:rFonts w:ascii="宋体" w:eastAsia="宋体" w:hint="eastAsia"/>
        </w:rPr>
      </w:pPr>
      <w:r>
        <w:rPr>
          <w:rFonts w:ascii="宋体" w:eastAsia="宋体" w:hint="eastAsia"/>
          <w:color w:val="333333"/>
        </w:rPr>
        <w:t>(四)将消防公共服务事项纳入政府民生工程或为民办实事工程；在社会福利机构、幼儿园、托儿所、居民家庭、小旅馆、群租房以及住宿与生产、储存、经营合用的场所推广安装简易喷淋装臵、独立式感烟火灾探测报警器。</w:t>
      </w:r>
    </w:p>
    <w:p>
      <w:pPr>
        <w:pStyle w:val="BodyText"/>
        <w:spacing w:line="312" w:lineRule="auto" w:before="3"/>
        <w:ind w:right="235" w:firstLine="489"/>
        <w:jc w:val="both"/>
        <w:rPr>
          <w:rFonts w:ascii="宋体" w:eastAsia="宋体" w:hint="eastAsia"/>
        </w:rPr>
      </w:pPr>
      <w:r>
        <w:rPr>
          <w:rFonts w:ascii="宋体" w:eastAsia="宋体" w:hint="eastAsia"/>
          <w:color w:val="333333"/>
        </w:rPr>
        <w:t>(五)定期分析评估本地区消防安全形势，组织开展火灾隐患排查整治工作；对重大火灾隐患，应当组织有关部门制定整改措施，督促限期消除。</w:t>
      </w:r>
    </w:p>
    <w:p>
      <w:pPr>
        <w:pStyle w:val="BodyText"/>
        <w:spacing w:line="314" w:lineRule="auto"/>
        <w:ind w:right="242" w:firstLine="489"/>
        <w:rPr>
          <w:rFonts w:ascii="宋体" w:eastAsia="宋体" w:hint="eastAsia"/>
        </w:rPr>
      </w:pPr>
      <w:r>
        <w:rPr>
          <w:rFonts w:ascii="宋体" w:eastAsia="宋体" w:hint="eastAsia"/>
          <w:color w:val="333333"/>
        </w:rPr>
        <w:t>(六)加强消防宣传教育培训，有计划地建设公益性消防科普教育基地，开展消防科普教育活动。</w:t>
      </w:r>
    </w:p>
    <w:p>
      <w:pPr>
        <w:pStyle w:val="BodyText"/>
        <w:spacing w:line="312" w:lineRule="auto"/>
        <w:ind w:right="235" w:firstLine="489"/>
        <w:jc w:val="both"/>
        <w:rPr>
          <w:rFonts w:ascii="宋体" w:eastAsia="宋体" w:hint="eastAsia"/>
        </w:rPr>
      </w:pPr>
      <w:r>
        <w:rPr>
          <w:rFonts w:ascii="宋体" w:eastAsia="宋体" w:hint="eastAsia"/>
          <w:color w:val="333333"/>
        </w:rPr>
        <w:t>(七)按照立法权限，针对本地区消防安全特点和实际情况，及时提请同级人大及其常委会制定、修订地方性法规， 组织制定、修订地方政府规章、规范性文件。</w:t>
      </w:r>
    </w:p>
    <w:p>
      <w:pPr>
        <w:spacing w:after="0" w:line="312" w:lineRule="auto"/>
        <w:jc w:val="both"/>
        <w:rPr>
          <w:rFonts w:ascii="宋体" w:eastAsia="宋体" w:hint="eastAsia"/>
        </w:rPr>
        <w:sectPr>
          <w:pgSz w:w="8400" w:h="11910"/>
          <w:pgMar w:header="0" w:footer="870" w:top="1100" w:bottom="1060" w:left="820" w:right="780"/>
        </w:sectPr>
      </w:pPr>
    </w:p>
    <w:p>
      <w:pPr>
        <w:tabs>
          <w:tab w:pos="1645" w:val="left" w:leader="none"/>
        </w:tabs>
        <w:spacing w:before="48"/>
        <w:ind w:left="680" w:right="0" w:firstLine="0"/>
        <w:jc w:val="left"/>
        <w:rPr>
          <w:rFonts w:ascii="宋体" w:eastAsia="宋体" w:hint="eastAsia"/>
          <w:sz w:val="24"/>
        </w:rPr>
      </w:pPr>
      <w:r>
        <w:rPr>
          <w:rFonts w:ascii="Microsoft JhengHei" w:eastAsia="Microsoft JhengHei" w:hint="eastAsia"/>
          <w:b/>
          <w:color w:val="333333"/>
          <w:sz w:val="24"/>
        </w:rPr>
        <w:t>第九条</w:t>
        <w:tab/>
      </w:r>
      <w:r>
        <w:rPr>
          <w:rFonts w:ascii="宋体" w:eastAsia="宋体" w:hint="eastAsia"/>
          <w:color w:val="333333"/>
          <w:sz w:val="24"/>
        </w:rPr>
        <w:t>乡镇人</w:t>
      </w:r>
      <w:r>
        <w:rPr>
          <w:rFonts w:ascii="宋体" w:eastAsia="宋体" w:hint="eastAsia"/>
          <w:color w:val="333333"/>
          <w:spacing w:val="-3"/>
          <w:sz w:val="24"/>
        </w:rPr>
        <w:t>民</w:t>
      </w:r>
      <w:r>
        <w:rPr>
          <w:rFonts w:ascii="宋体" w:eastAsia="宋体" w:hint="eastAsia"/>
          <w:color w:val="333333"/>
          <w:sz w:val="24"/>
        </w:rPr>
        <w:t>政府消防工作职责：</w:t>
      </w:r>
    </w:p>
    <w:p>
      <w:pPr>
        <w:pStyle w:val="BodyText"/>
        <w:spacing w:line="312" w:lineRule="auto" w:before="39"/>
        <w:ind w:right="242" w:firstLine="489"/>
        <w:rPr>
          <w:rFonts w:ascii="宋体" w:eastAsia="宋体" w:hint="eastAsia"/>
        </w:rPr>
      </w:pPr>
      <w:r>
        <w:rPr>
          <w:rFonts w:ascii="宋体" w:eastAsia="宋体" w:hint="eastAsia"/>
          <w:color w:val="333333"/>
        </w:rPr>
        <w:t>(一)建立消防安全组织，明确专人负责消防工作，制定消防安全制度，落实消防安全措施。</w:t>
      </w:r>
    </w:p>
    <w:p>
      <w:pPr>
        <w:pStyle w:val="BodyText"/>
        <w:spacing w:line="312" w:lineRule="auto"/>
        <w:ind w:right="242" w:firstLine="489"/>
        <w:rPr>
          <w:rFonts w:ascii="宋体" w:eastAsia="宋体" w:hint="eastAsia"/>
        </w:rPr>
      </w:pPr>
      <w:r>
        <w:rPr>
          <w:rFonts w:ascii="宋体" w:eastAsia="宋体" w:hint="eastAsia"/>
          <w:color w:val="333333"/>
        </w:rPr>
        <w:t>(二)安排必要的资金，用于公共消防设施建设和业务经费支出。</w:t>
      </w:r>
    </w:p>
    <w:p>
      <w:pPr>
        <w:pStyle w:val="BodyText"/>
        <w:spacing w:line="312" w:lineRule="auto" w:before="2"/>
        <w:ind w:right="242" w:firstLine="489"/>
        <w:rPr>
          <w:rFonts w:ascii="宋体" w:eastAsia="宋体" w:hint="eastAsia"/>
        </w:rPr>
      </w:pPr>
      <w:r>
        <w:rPr>
          <w:rFonts w:ascii="宋体" w:eastAsia="宋体" w:hint="eastAsia"/>
          <w:color w:val="333333"/>
        </w:rPr>
        <w:t>(三)将消防安全内容纳入镇总体规划、乡规划，并严格组织实施。</w:t>
      </w:r>
    </w:p>
    <w:p>
      <w:pPr>
        <w:pStyle w:val="BodyText"/>
        <w:spacing w:line="312" w:lineRule="auto"/>
        <w:ind w:right="235" w:firstLine="489"/>
        <w:jc w:val="both"/>
        <w:rPr>
          <w:rFonts w:ascii="宋体" w:eastAsia="宋体" w:hint="eastAsia"/>
        </w:rPr>
      </w:pPr>
      <w:r>
        <w:rPr>
          <w:rFonts w:ascii="宋体" w:eastAsia="宋体" w:hint="eastAsia"/>
          <w:color w:val="333333"/>
        </w:rPr>
        <w:t>(四)根据当地经济发展和消防工作的需要建立专职消防队、志愿消防队，承担火灾扑救、应急救援等职能，并开展消防宣传、防火巡查、隐患查改。</w:t>
      </w:r>
    </w:p>
    <w:p>
      <w:pPr>
        <w:pStyle w:val="BodyText"/>
        <w:spacing w:line="312" w:lineRule="auto" w:before="1"/>
        <w:ind w:right="242" w:firstLine="489"/>
        <w:rPr>
          <w:rFonts w:ascii="宋体" w:hAnsi="宋体" w:eastAsia="宋体" w:hint="eastAsia"/>
        </w:rPr>
      </w:pPr>
      <w:r>
        <w:rPr>
          <w:rFonts w:ascii="宋体" w:hAnsi="宋体" w:eastAsia="宋体" w:hint="eastAsia"/>
          <w:color w:val="333333"/>
        </w:rPr>
        <w:t>(五)因地制宜落实消防安全“网格化”管理的措施和要求，加强消防宣传和应急疏散演练。</w:t>
      </w:r>
    </w:p>
    <w:p>
      <w:pPr>
        <w:pStyle w:val="BodyText"/>
        <w:spacing w:line="312" w:lineRule="auto"/>
        <w:ind w:right="242" w:firstLine="489"/>
        <w:rPr>
          <w:rFonts w:ascii="宋体" w:eastAsia="宋体" w:hint="eastAsia"/>
        </w:rPr>
      </w:pPr>
      <w:r>
        <w:rPr>
          <w:rFonts w:ascii="宋体" w:eastAsia="宋体" w:hint="eastAsia"/>
          <w:color w:val="333333"/>
        </w:rPr>
        <w:t>(六)部署消防安全整治，组织开展消防安全检查，督促整改火灾隐患。</w:t>
      </w:r>
    </w:p>
    <w:p>
      <w:pPr>
        <w:pStyle w:val="BodyText"/>
        <w:spacing w:line="312" w:lineRule="auto" w:before="2"/>
        <w:ind w:right="235" w:firstLine="489"/>
        <w:jc w:val="both"/>
        <w:rPr>
          <w:rFonts w:ascii="宋体" w:eastAsia="宋体" w:hint="eastAsia"/>
        </w:rPr>
      </w:pPr>
      <w:r>
        <w:rPr>
          <w:rFonts w:ascii="宋体" w:eastAsia="宋体" w:hint="eastAsia"/>
          <w:color w:val="333333"/>
        </w:rPr>
        <w:t>(七)指导村(居)民委员会开展群众性的消防工作，确定消防安全管理人，制定防火安全公约，根据需要建立志愿消防队或微型消防站，开展防火安全检查、消防宣传教育和应急疏散演练，提高城乡消防安全水平。</w:t>
      </w:r>
    </w:p>
    <w:p>
      <w:pPr>
        <w:pStyle w:val="BodyText"/>
        <w:spacing w:line="312" w:lineRule="auto"/>
        <w:ind w:right="235" w:firstLine="480"/>
        <w:rPr>
          <w:rFonts w:ascii="宋体" w:eastAsia="宋体" w:hint="eastAsia"/>
        </w:rPr>
      </w:pPr>
      <w:r>
        <w:rPr>
          <w:rFonts w:ascii="宋体" w:eastAsia="宋体" w:hint="eastAsia"/>
          <w:color w:val="333333"/>
          <w:spacing w:val="-19"/>
        </w:rPr>
        <w:t>街道办事处应当履行前款第(一)、(四)、(五)、(六)、(七) </w:t>
      </w:r>
      <w:r>
        <w:rPr>
          <w:rFonts w:ascii="宋体" w:eastAsia="宋体" w:hint="eastAsia"/>
          <w:color w:val="333333"/>
        </w:rPr>
        <w:t>项职责，并保障消防工作经费。</w:t>
      </w:r>
    </w:p>
    <w:p>
      <w:pPr>
        <w:pStyle w:val="BodyText"/>
        <w:tabs>
          <w:tab w:pos="1672" w:val="left" w:leader="none"/>
        </w:tabs>
        <w:spacing w:line="365" w:lineRule="exact"/>
        <w:ind w:left="690"/>
        <w:rPr>
          <w:rFonts w:ascii="宋体" w:eastAsia="宋体" w:hint="eastAsia"/>
        </w:rPr>
      </w:pPr>
      <w:r>
        <w:rPr>
          <w:rFonts w:ascii="Microsoft JhengHei" w:eastAsia="Microsoft JhengHei" w:hint="eastAsia"/>
          <w:b/>
          <w:color w:val="333333"/>
          <w:spacing w:val="4"/>
        </w:rPr>
        <w:t>第十</w:t>
      </w:r>
      <w:r>
        <w:rPr>
          <w:rFonts w:ascii="Microsoft JhengHei" w:eastAsia="Microsoft JhengHei" w:hint="eastAsia"/>
          <w:b/>
          <w:color w:val="333333"/>
        </w:rPr>
        <w:t>条</w:t>
        <w:tab/>
      </w:r>
      <w:r>
        <w:rPr>
          <w:rFonts w:ascii="宋体" w:eastAsia="宋体" w:hint="eastAsia"/>
          <w:color w:val="333333"/>
          <w:spacing w:val="4"/>
        </w:rPr>
        <w:t>开</w:t>
      </w:r>
      <w:r>
        <w:rPr>
          <w:rFonts w:ascii="宋体" w:eastAsia="宋体" w:hint="eastAsia"/>
          <w:color w:val="333333"/>
        </w:rPr>
        <w:t>发</w:t>
      </w:r>
      <w:r>
        <w:rPr>
          <w:rFonts w:ascii="宋体" w:eastAsia="宋体" w:hint="eastAsia"/>
          <w:color w:val="333333"/>
          <w:spacing w:val="4"/>
        </w:rPr>
        <w:t>区</w:t>
      </w:r>
      <w:r>
        <w:rPr>
          <w:rFonts w:ascii="宋体" w:eastAsia="宋体" w:hint="eastAsia"/>
          <w:color w:val="333333"/>
        </w:rPr>
        <w:t>管</w:t>
      </w:r>
      <w:r>
        <w:rPr>
          <w:rFonts w:ascii="宋体" w:eastAsia="宋体" w:hint="eastAsia"/>
          <w:color w:val="333333"/>
          <w:spacing w:val="4"/>
        </w:rPr>
        <w:t>理机构、工业</w:t>
      </w:r>
      <w:r>
        <w:rPr>
          <w:rFonts w:ascii="宋体" w:eastAsia="宋体" w:hint="eastAsia"/>
          <w:color w:val="333333"/>
        </w:rPr>
        <w:t>园</w:t>
      </w:r>
      <w:r>
        <w:rPr>
          <w:rFonts w:ascii="宋体" w:eastAsia="宋体" w:hint="eastAsia"/>
          <w:color w:val="333333"/>
          <w:spacing w:val="4"/>
        </w:rPr>
        <w:t>区管</w:t>
      </w:r>
      <w:r>
        <w:rPr>
          <w:rFonts w:ascii="宋体" w:eastAsia="宋体" w:hint="eastAsia"/>
          <w:color w:val="333333"/>
        </w:rPr>
        <w:t>理</w:t>
      </w:r>
      <w:r>
        <w:rPr>
          <w:rFonts w:ascii="宋体" w:eastAsia="宋体" w:hint="eastAsia"/>
          <w:color w:val="333333"/>
          <w:spacing w:val="4"/>
        </w:rPr>
        <w:t>机构</w:t>
      </w:r>
      <w:r>
        <w:rPr>
          <w:rFonts w:ascii="宋体" w:eastAsia="宋体" w:hint="eastAsia"/>
          <w:color w:val="333333"/>
          <w:spacing w:val="9"/>
        </w:rPr>
        <w:t>等</w:t>
      </w:r>
      <w:r>
        <w:rPr>
          <w:rFonts w:ascii="宋体" w:eastAsia="宋体" w:hint="eastAsia"/>
          <w:color w:val="333333"/>
          <w:spacing w:val="4"/>
        </w:rPr>
        <w:t>地方人</w:t>
      </w:r>
    </w:p>
    <w:p>
      <w:pPr>
        <w:pStyle w:val="BodyText"/>
        <w:spacing w:line="312" w:lineRule="auto" w:before="36"/>
        <w:ind w:right="235"/>
        <w:rPr>
          <w:rFonts w:ascii="宋体" w:eastAsia="宋体" w:hint="eastAsia"/>
        </w:rPr>
      </w:pPr>
      <w:r>
        <w:rPr>
          <w:rFonts w:ascii="宋体" w:eastAsia="宋体" w:hint="eastAsia"/>
          <w:color w:val="333333"/>
        </w:rPr>
        <w:t>民政府的派出机关，负责管理区域内的消防工作，按照本办法履行同级别人民政府的消防工作职责。</w:t>
      </w:r>
    </w:p>
    <w:p>
      <w:pPr>
        <w:spacing w:after="0" w:line="312" w:lineRule="auto"/>
        <w:rPr>
          <w:rFonts w:ascii="宋体" w:eastAsia="宋体" w:hint="eastAsia"/>
        </w:rPr>
        <w:sectPr>
          <w:pgSz w:w="8400" w:h="11910"/>
          <w:pgMar w:header="0" w:footer="870" w:top="1100" w:bottom="1060" w:left="820" w:right="780"/>
        </w:sectPr>
      </w:pPr>
    </w:p>
    <w:p>
      <w:pPr>
        <w:pStyle w:val="BodyText"/>
        <w:spacing w:line="400" w:lineRule="exact" w:before="47"/>
        <w:ind w:right="232" w:firstLine="468"/>
        <w:jc w:val="both"/>
        <w:rPr>
          <w:rFonts w:ascii="宋体" w:eastAsia="宋体" w:hint="eastAsia"/>
        </w:rPr>
      </w:pPr>
      <w:r>
        <w:rPr>
          <w:rFonts w:ascii="Microsoft JhengHei" w:eastAsia="Microsoft JhengHei" w:hint="eastAsia"/>
          <w:b/>
          <w:color w:val="333333"/>
          <w:spacing w:val="-4"/>
        </w:rPr>
        <w:t>第十一条 </w:t>
      </w:r>
      <w:r>
        <w:rPr>
          <w:rFonts w:ascii="宋体" w:eastAsia="宋体" w:hint="eastAsia"/>
          <w:color w:val="333333"/>
          <w:spacing w:val="-7"/>
        </w:rPr>
        <w:t>地方各级人民政府主要负责人应当组织实施消</w:t>
      </w:r>
      <w:r>
        <w:rPr>
          <w:rFonts w:ascii="宋体" w:eastAsia="宋体" w:hint="eastAsia"/>
          <w:color w:val="333333"/>
          <w:spacing w:val="-5"/>
        </w:rPr>
        <w:t>防法律法规、方针政策和上级部署要求，定期研究部署消防工</w:t>
      </w:r>
      <w:r>
        <w:rPr>
          <w:rFonts w:ascii="宋体" w:eastAsia="宋体" w:hint="eastAsia"/>
          <w:color w:val="333333"/>
          <w:spacing w:val="-12"/>
        </w:rPr>
        <w:t>作，协调解决本行政区域内的重大消防安全问题。</w:t>
      </w:r>
    </w:p>
    <w:p>
      <w:pPr>
        <w:pStyle w:val="BodyText"/>
        <w:spacing w:line="312" w:lineRule="auto" w:before="80"/>
        <w:ind w:right="227" w:firstLine="470"/>
        <w:jc w:val="both"/>
        <w:rPr>
          <w:rFonts w:ascii="宋体" w:eastAsia="宋体" w:hint="eastAsia"/>
        </w:rPr>
      </w:pPr>
      <w:r>
        <w:rPr>
          <w:rFonts w:ascii="宋体" w:eastAsia="宋体" w:hint="eastAsia"/>
          <w:color w:val="333333"/>
          <w:spacing w:val="-5"/>
        </w:rPr>
        <w:t>地方各级人民政府分管消防安全的负责人应当协助主要负责人，综合协调本行政区域内的消防工作，督促检查各有关部</w:t>
      </w:r>
      <w:r>
        <w:rPr>
          <w:rFonts w:ascii="宋体" w:eastAsia="宋体" w:hint="eastAsia"/>
          <w:color w:val="333333"/>
          <w:spacing w:val="-19"/>
        </w:rPr>
        <w:t>门、下级政府落实消防工作的情况。班子其他成员要定期研究部</w:t>
      </w:r>
      <w:r>
        <w:rPr>
          <w:rFonts w:ascii="宋体" w:eastAsia="宋体" w:hint="eastAsia"/>
          <w:color w:val="333333"/>
          <w:spacing w:val="-16"/>
        </w:rPr>
        <w:t>署分管领域的消防工作，组织工作督查，推动分管领域火灾隐患排查整治。</w:t>
      </w:r>
    </w:p>
    <w:p>
      <w:pPr>
        <w:pStyle w:val="BodyText"/>
        <w:ind w:left="0"/>
        <w:rPr>
          <w:rFonts w:ascii="宋体"/>
        </w:rPr>
      </w:pPr>
    </w:p>
    <w:p>
      <w:pPr>
        <w:pStyle w:val="Heading2"/>
        <w:spacing w:before="208"/>
        <w:ind w:left="529"/>
        <w:jc w:val="left"/>
      </w:pPr>
      <w:r>
        <w:rPr/>
        <w:t>第三章 县级以上人民政府工作部门消防安全职责</w:t>
      </w:r>
    </w:p>
    <w:p>
      <w:pPr>
        <w:pStyle w:val="BodyText"/>
        <w:spacing w:before="3"/>
        <w:ind w:left="0"/>
        <w:rPr>
          <w:b/>
          <w:sz w:val="41"/>
        </w:rPr>
      </w:pPr>
    </w:p>
    <w:p>
      <w:pPr>
        <w:pStyle w:val="BodyText"/>
        <w:spacing w:line="261" w:lineRule="auto"/>
        <w:ind w:right="229" w:firstLine="458"/>
        <w:jc w:val="both"/>
        <w:rPr>
          <w:rFonts w:ascii="宋体" w:eastAsia="宋体" w:hint="eastAsia"/>
        </w:rPr>
      </w:pPr>
      <w:r>
        <w:rPr>
          <w:rFonts w:ascii="Microsoft JhengHei" w:eastAsia="Microsoft JhengHei" w:hint="eastAsia"/>
          <w:b/>
          <w:color w:val="333333"/>
          <w:spacing w:val="1"/>
        </w:rPr>
        <w:t>第十二条 </w:t>
      </w:r>
      <w:r>
        <w:rPr>
          <w:rFonts w:ascii="宋体" w:eastAsia="宋体" w:hint="eastAsia"/>
          <w:color w:val="333333"/>
          <w:spacing w:val="-16"/>
        </w:rPr>
        <w:t>县级以上人民政府工作部门应当按照谁主管、谁</w:t>
      </w:r>
      <w:r>
        <w:rPr>
          <w:rFonts w:ascii="宋体" w:eastAsia="宋体" w:hint="eastAsia"/>
          <w:color w:val="333333"/>
          <w:spacing w:val="-12"/>
        </w:rPr>
        <w:t>负责的原则，在各自职责范围内履行下列职责：</w:t>
      </w:r>
    </w:p>
    <w:p>
      <w:pPr>
        <w:pStyle w:val="BodyText"/>
        <w:spacing w:line="312" w:lineRule="auto" w:before="65"/>
        <w:ind w:right="227" w:firstLine="456"/>
        <w:jc w:val="both"/>
        <w:rPr>
          <w:rFonts w:ascii="宋体" w:eastAsia="宋体" w:hint="eastAsia"/>
        </w:rPr>
      </w:pPr>
      <w:r>
        <w:rPr>
          <w:rFonts w:ascii="宋体" w:eastAsia="宋体" w:hint="eastAsia"/>
          <w:color w:val="333333"/>
          <w:spacing w:val="-17"/>
        </w:rPr>
        <w:t>(一)根据本行业、本系统业务工作特点，在行业安全生产法</w:t>
      </w:r>
      <w:r>
        <w:rPr>
          <w:rFonts w:ascii="宋体" w:eastAsia="宋体" w:hint="eastAsia"/>
          <w:color w:val="333333"/>
          <w:spacing w:val="-19"/>
        </w:rPr>
        <w:t>规政策、规划计划和应急预案中纳入消防安全内容，提高消防安</w:t>
      </w:r>
      <w:r>
        <w:rPr>
          <w:rFonts w:ascii="宋体" w:eastAsia="宋体" w:hint="eastAsia"/>
          <w:color w:val="333333"/>
          <w:spacing w:val="-12"/>
        </w:rPr>
        <w:t>全管理水平。</w:t>
      </w:r>
    </w:p>
    <w:p>
      <w:pPr>
        <w:pStyle w:val="BodyText"/>
        <w:spacing w:line="312" w:lineRule="auto" w:before="1"/>
        <w:ind w:right="205" w:firstLine="470"/>
        <w:jc w:val="both"/>
        <w:rPr>
          <w:rFonts w:ascii="宋体" w:eastAsia="宋体" w:hint="eastAsia"/>
        </w:rPr>
      </w:pPr>
      <w:r>
        <w:rPr>
          <w:rFonts w:ascii="宋体" w:eastAsia="宋体" w:hint="eastAsia"/>
          <w:color w:val="333333"/>
          <w:spacing w:val="-5"/>
        </w:rPr>
        <w:t>(二)依法督促本行业、本系统相关单位落实消防安全责任</w:t>
      </w:r>
      <w:r>
        <w:rPr>
          <w:rFonts w:ascii="宋体" w:eastAsia="宋体" w:hint="eastAsia"/>
          <w:color w:val="333333"/>
          <w:spacing w:val="-14"/>
        </w:rPr>
        <w:t>制，建立消防安全管理制度，确定专(兼)职消防安全管理人员， </w:t>
      </w:r>
      <w:r>
        <w:rPr>
          <w:rFonts w:ascii="宋体" w:eastAsia="宋体" w:hint="eastAsia"/>
          <w:color w:val="333333"/>
          <w:spacing w:val="-17"/>
        </w:rPr>
        <w:t>落实消防工作经费；开展针对性消防安全检查治理，消除火灾隐</w:t>
      </w:r>
      <w:r>
        <w:rPr>
          <w:rFonts w:ascii="宋体" w:eastAsia="宋体" w:hint="eastAsia"/>
          <w:color w:val="333333"/>
          <w:spacing w:val="-18"/>
        </w:rPr>
        <w:t>患；加强消防宣传教育培训，每年组织应急演练，提高行业从业</w:t>
      </w:r>
      <w:r>
        <w:rPr>
          <w:rFonts w:ascii="宋体" w:eastAsia="宋体" w:hint="eastAsia"/>
          <w:color w:val="333333"/>
          <w:spacing w:val="-12"/>
        </w:rPr>
        <w:t>人员消防安全意识。</w:t>
      </w:r>
    </w:p>
    <w:p>
      <w:pPr>
        <w:pStyle w:val="BodyText"/>
        <w:spacing w:before="1"/>
        <w:ind w:left="656"/>
        <w:rPr>
          <w:rFonts w:ascii="宋体" w:eastAsia="宋体" w:hint="eastAsia"/>
        </w:rPr>
      </w:pPr>
      <w:r>
        <w:rPr>
          <w:rFonts w:ascii="宋体" w:eastAsia="宋体" w:hint="eastAsia"/>
          <w:color w:val="333333"/>
        </w:rPr>
        <w:t>(三)法律、法规和规章规定的其他消防安全职责。</w:t>
      </w:r>
    </w:p>
    <w:p>
      <w:pPr>
        <w:spacing w:after="0"/>
        <w:rPr>
          <w:rFonts w:ascii="宋体" w:eastAsia="宋体" w:hint="eastAsia"/>
        </w:rPr>
        <w:sectPr>
          <w:pgSz w:w="8400" w:h="11910"/>
          <w:pgMar w:header="0" w:footer="870" w:top="1100" w:bottom="1060" w:left="820" w:right="780"/>
        </w:sectPr>
      </w:pPr>
    </w:p>
    <w:p>
      <w:pPr>
        <w:pStyle w:val="BodyText"/>
        <w:tabs>
          <w:tab w:pos="1806" w:val="left" w:leader="none"/>
        </w:tabs>
        <w:spacing w:line="261" w:lineRule="auto" w:before="48"/>
        <w:ind w:right="230" w:firstLine="453"/>
        <w:rPr>
          <w:rFonts w:ascii="宋体" w:eastAsia="宋体" w:hint="eastAsia"/>
        </w:rPr>
      </w:pPr>
      <w:r>
        <w:rPr>
          <w:rFonts w:ascii="Microsoft JhengHei" w:eastAsia="Microsoft JhengHei" w:hint="eastAsia"/>
          <w:b/>
          <w:color w:val="333333"/>
          <w:spacing w:val="-10"/>
        </w:rPr>
        <w:t>第</w:t>
      </w:r>
      <w:r>
        <w:rPr>
          <w:rFonts w:ascii="Microsoft JhengHei" w:eastAsia="Microsoft JhengHei" w:hint="eastAsia"/>
          <w:b/>
          <w:color w:val="333333"/>
          <w:spacing w:val="-12"/>
        </w:rPr>
        <w:t>十</w:t>
      </w:r>
      <w:r>
        <w:rPr>
          <w:rFonts w:ascii="Microsoft JhengHei" w:eastAsia="Microsoft JhengHei" w:hint="eastAsia"/>
          <w:b/>
          <w:color w:val="333333"/>
          <w:spacing w:val="-10"/>
        </w:rPr>
        <w:t>三</w:t>
      </w:r>
      <w:r>
        <w:rPr>
          <w:rFonts w:ascii="Microsoft JhengHei" w:eastAsia="Microsoft JhengHei" w:hint="eastAsia"/>
          <w:b/>
          <w:color w:val="333333"/>
        </w:rPr>
        <w:t>条</w:t>
        <w:tab/>
      </w:r>
      <w:r>
        <w:rPr>
          <w:rFonts w:ascii="宋体" w:eastAsia="宋体" w:hint="eastAsia"/>
          <w:color w:val="333333"/>
          <w:spacing w:val="-12"/>
        </w:rPr>
        <w:t>具有行政审批职能的部</w:t>
      </w:r>
      <w:r>
        <w:rPr>
          <w:rFonts w:ascii="宋体" w:eastAsia="宋体" w:hint="eastAsia"/>
          <w:color w:val="333333"/>
          <w:spacing w:val="-34"/>
        </w:rPr>
        <w:t>门，</w:t>
      </w:r>
      <w:r>
        <w:rPr>
          <w:rFonts w:ascii="宋体" w:eastAsia="宋体" w:hint="eastAsia"/>
          <w:color w:val="333333"/>
          <w:spacing w:val="-12"/>
        </w:rPr>
        <w:t>对审批事项中涉及消防安全的法定条件要依法严格审</w:t>
      </w:r>
      <w:r>
        <w:rPr>
          <w:rFonts w:ascii="宋体" w:eastAsia="宋体" w:hint="eastAsia"/>
          <w:color w:val="333333"/>
          <w:spacing w:val="-22"/>
        </w:rPr>
        <w:t>批，</w:t>
      </w:r>
      <w:r>
        <w:rPr>
          <w:rFonts w:ascii="宋体" w:eastAsia="宋体" w:hint="eastAsia"/>
          <w:color w:val="333333"/>
          <w:spacing w:val="-12"/>
        </w:rPr>
        <w:t>凡不符</w:t>
      </w:r>
      <w:r>
        <w:rPr>
          <w:rFonts w:ascii="宋体" w:eastAsia="宋体" w:hint="eastAsia"/>
          <w:color w:val="333333"/>
          <w:spacing w:val="-10"/>
        </w:rPr>
        <w:t>合</w:t>
      </w:r>
      <w:r>
        <w:rPr>
          <w:rFonts w:ascii="宋体" w:eastAsia="宋体" w:hint="eastAsia"/>
          <w:color w:val="333333"/>
          <w:spacing w:val="-12"/>
        </w:rPr>
        <w:t>法定条件</w:t>
      </w:r>
      <w:r>
        <w:rPr>
          <w:rFonts w:ascii="宋体" w:eastAsia="宋体" w:hint="eastAsia"/>
          <w:color w:val="333333"/>
          <w:spacing w:val="-22"/>
        </w:rPr>
        <w:t>的，</w:t>
      </w:r>
      <w:r>
        <w:rPr>
          <w:rFonts w:ascii="宋体" w:eastAsia="宋体" w:hint="eastAsia"/>
          <w:color w:val="333333"/>
          <w:spacing w:val="-12"/>
        </w:rPr>
        <w:t>不得</w:t>
      </w:r>
    </w:p>
    <w:p>
      <w:pPr>
        <w:pStyle w:val="BodyText"/>
        <w:spacing w:line="312" w:lineRule="auto" w:before="65"/>
        <w:ind w:right="230"/>
        <w:rPr>
          <w:rFonts w:ascii="宋体" w:eastAsia="宋体" w:hint="eastAsia"/>
        </w:rPr>
      </w:pPr>
      <w:r>
        <w:rPr>
          <w:rFonts w:ascii="宋体" w:eastAsia="宋体" w:hint="eastAsia"/>
          <w:color w:val="333333"/>
          <w:spacing w:val="-16"/>
        </w:rPr>
        <w:t>核发相关许可证照或批准开办。对已经依法取得批准的单位，不</w:t>
      </w:r>
      <w:r>
        <w:rPr>
          <w:rFonts w:ascii="宋体" w:eastAsia="宋体" w:hint="eastAsia"/>
          <w:color w:val="333333"/>
          <w:spacing w:val="-12"/>
        </w:rPr>
        <w:t>再具备消防安全条件的应当依法予以处理。</w:t>
      </w:r>
    </w:p>
    <w:p>
      <w:pPr>
        <w:pStyle w:val="BodyText"/>
        <w:spacing w:line="312" w:lineRule="auto"/>
        <w:ind w:right="230" w:firstLine="456"/>
        <w:jc w:val="both"/>
        <w:rPr>
          <w:rFonts w:ascii="宋体" w:eastAsia="宋体" w:hint="eastAsia"/>
        </w:rPr>
      </w:pPr>
      <w:r>
        <w:rPr>
          <w:rFonts w:ascii="宋体" w:eastAsia="宋体" w:hint="eastAsia"/>
          <w:color w:val="333333"/>
          <w:spacing w:val="-16"/>
        </w:rPr>
        <w:t>(一)公安机关负责对消防工作实施监督管理，指导、督促机</w:t>
      </w:r>
      <w:r>
        <w:rPr>
          <w:rFonts w:ascii="宋体" w:eastAsia="宋体" w:hint="eastAsia"/>
          <w:color w:val="333333"/>
          <w:spacing w:val="-17"/>
        </w:rPr>
        <w:t>关、团体、企业、事业等单位履行消防工作职责。依法实施建设工程消防设计审核、消防验收，开展消防监督检查，组织针对性</w:t>
      </w:r>
      <w:r>
        <w:rPr>
          <w:rFonts w:ascii="宋体" w:eastAsia="宋体" w:hint="eastAsia"/>
          <w:color w:val="333333"/>
          <w:spacing w:val="-21"/>
        </w:rPr>
        <w:t>消防安全专项治理，实施消防行政处罚。组织和指挥火灾现场扑</w:t>
      </w:r>
      <w:r>
        <w:rPr>
          <w:rFonts w:ascii="宋体" w:eastAsia="宋体" w:hint="eastAsia"/>
          <w:color w:val="333333"/>
          <w:spacing w:val="-18"/>
        </w:rPr>
        <w:t>救，承担或参加重大灾害事故和其他以抢救人员生命为主的应急</w:t>
      </w:r>
      <w:r>
        <w:rPr>
          <w:rFonts w:ascii="宋体" w:eastAsia="宋体" w:hint="eastAsia"/>
          <w:color w:val="333333"/>
          <w:spacing w:val="-21"/>
        </w:rPr>
        <w:t>救援工作。依法组织或参与火灾事故调查处理工作，办理失火罪</w:t>
      </w:r>
      <w:r>
        <w:rPr>
          <w:rFonts w:ascii="宋体" w:eastAsia="宋体" w:hint="eastAsia"/>
          <w:color w:val="333333"/>
          <w:spacing w:val="-16"/>
        </w:rPr>
        <w:t>和消防责任事故罪案件。组织开展消防宣传教育培训和应急疏散演练。</w:t>
      </w:r>
    </w:p>
    <w:p>
      <w:pPr>
        <w:pStyle w:val="BodyText"/>
        <w:spacing w:line="312" w:lineRule="auto" w:before="1"/>
        <w:ind w:right="230" w:firstLine="456"/>
        <w:jc w:val="both"/>
        <w:rPr>
          <w:rFonts w:ascii="宋体" w:eastAsia="宋体" w:hint="eastAsia"/>
        </w:rPr>
      </w:pPr>
      <w:r>
        <w:rPr>
          <w:rFonts w:ascii="宋体" w:eastAsia="宋体" w:hint="eastAsia"/>
          <w:color w:val="333333"/>
          <w:spacing w:val="-16"/>
        </w:rPr>
        <w:t>(二)教育部门负责学校、幼儿园管理中的行业消防安全。指导学校消防安全教育宣传工作，将消防安全教育纳入学校安全教育活动统筹安排。</w:t>
      </w:r>
    </w:p>
    <w:p>
      <w:pPr>
        <w:pStyle w:val="BodyText"/>
        <w:spacing w:line="312" w:lineRule="auto" w:before="1"/>
        <w:ind w:right="172" w:firstLine="456"/>
        <w:jc w:val="both"/>
        <w:rPr>
          <w:rFonts w:ascii="宋体" w:eastAsia="宋体" w:hint="eastAsia"/>
        </w:rPr>
      </w:pPr>
      <w:r>
        <w:rPr>
          <w:rFonts w:ascii="宋体" w:eastAsia="宋体" w:hint="eastAsia"/>
          <w:color w:val="333333"/>
          <w:spacing w:val="-17"/>
        </w:rPr>
        <w:t>(三)民政部门负责社会福利、特困人员供养、救助管理、未</w:t>
      </w:r>
      <w:r>
        <w:rPr>
          <w:rFonts w:ascii="宋体" w:eastAsia="宋体" w:hint="eastAsia"/>
          <w:color w:val="333333"/>
          <w:spacing w:val="-28"/>
        </w:rPr>
        <w:t>成年人保护、婚姻、殡葬、救灾物资储备、烈士纪念、军休军供、</w:t>
      </w:r>
      <w:r>
        <w:rPr>
          <w:rFonts w:ascii="宋体" w:eastAsia="宋体" w:hint="eastAsia"/>
          <w:color w:val="333333"/>
          <w:spacing w:val="-22"/>
        </w:rPr>
        <w:t>优抚医院、光荣院、养老机构等民政服务机构审批或管理中的行</w:t>
      </w:r>
      <w:r>
        <w:rPr>
          <w:rFonts w:ascii="宋体" w:eastAsia="宋体" w:hint="eastAsia"/>
          <w:color w:val="333333"/>
          <w:spacing w:val="-12"/>
        </w:rPr>
        <w:t>业消防安全。</w:t>
      </w:r>
    </w:p>
    <w:p>
      <w:pPr>
        <w:pStyle w:val="BodyText"/>
        <w:spacing w:line="312" w:lineRule="auto" w:before="2"/>
        <w:ind w:right="239" w:firstLine="456"/>
        <w:jc w:val="both"/>
        <w:rPr>
          <w:rFonts w:ascii="宋体" w:eastAsia="宋体" w:hint="eastAsia"/>
        </w:rPr>
      </w:pPr>
      <w:r>
        <w:rPr>
          <w:rFonts w:ascii="宋体" w:eastAsia="宋体" w:hint="eastAsia"/>
          <w:color w:val="333333"/>
          <w:spacing w:val="-15"/>
        </w:rPr>
        <w:t>(四)人力资源社会保障部门负责职业培训机构、技工院校审</w:t>
      </w:r>
      <w:r>
        <w:rPr>
          <w:rFonts w:ascii="宋体" w:eastAsia="宋体" w:hint="eastAsia"/>
          <w:color w:val="333333"/>
          <w:spacing w:val="-17"/>
        </w:rPr>
        <w:t>批或管理中的行业消防安全。做好政府专职消防队员、企业专职</w:t>
      </w:r>
      <w:r>
        <w:rPr>
          <w:rFonts w:ascii="宋体" w:eastAsia="宋体" w:hint="eastAsia"/>
          <w:color w:val="333333"/>
          <w:spacing w:val="-16"/>
        </w:rPr>
        <w:t>消防队员依法参加工伤保险工作。将消防法律法规和消防知识纳</w:t>
      </w:r>
      <w:r>
        <w:rPr>
          <w:rFonts w:ascii="宋体" w:eastAsia="宋体" w:hint="eastAsia"/>
          <w:color w:val="333333"/>
          <w:spacing w:val="-12"/>
        </w:rPr>
        <w:t>入公务员培训、职业培训内容。</w:t>
      </w:r>
    </w:p>
    <w:p>
      <w:pPr>
        <w:spacing w:after="0" w:line="312" w:lineRule="auto"/>
        <w:jc w:val="both"/>
        <w:rPr>
          <w:rFonts w:ascii="宋体" w:eastAsia="宋体" w:hint="eastAsia"/>
        </w:rPr>
        <w:sectPr>
          <w:pgSz w:w="8400" w:h="11910"/>
          <w:pgMar w:header="0" w:footer="870" w:top="1100" w:bottom="1060" w:left="820" w:right="780"/>
        </w:sectPr>
      </w:pPr>
    </w:p>
    <w:p>
      <w:pPr>
        <w:pStyle w:val="BodyText"/>
        <w:spacing w:line="312" w:lineRule="auto" w:before="127"/>
        <w:ind w:right="206" w:firstLine="470"/>
        <w:jc w:val="right"/>
        <w:rPr>
          <w:rFonts w:ascii="宋体" w:eastAsia="宋体" w:hint="eastAsia"/>
        </w:rPr>
      </w:pPr>
      <w:r>
        <w:rPr>
          <w:rFonts w:ascii="宋体" w:eastAsia="宋体" w:hint="eastAsia"/>
          <w:color w:val="333333"/>
          <w:spacing w:val="-5"/>
        </w:rPr>
        <w:t>(五)城乡规划管理部门依据城乡规划配合制定消防设施布</w:t>
      </w:r>
      <w:r>
        <w:rPr>
          <w:rFonts w:ascii="宋体" w:eastAsia="宋体" w:hint="eastAsia"/>
          <w:color w:val="333333"/>
          <w:spacing w:val="-13"/>
        </w:rPr>
        <w:t>局专项规划，依据规划预留消防站规划用地，并负责监督实施。</w:t>
      </w:r>
      <w:r>
        <w:rPr>
          <w:rFonts w:ascii="宋体" w:eastAsia="宋体" w:hint="eastAsia"/>
          <w:color w:val="333333"/>
          <w:spacing w:val="-12"/>
        </w:rPr>
        <w:t> </w:t>
      </w:r>
      <w:r>
        <w:rPr>
          <w:rFonts w:ascii="宋体" w:eastAsia="宋体" w:hint="eastAsia"/>
          <w:color w:val="333333"/>
          <w:spacing w:val="-5"/>
        </w:rPr>
        <w:t>(六)住房城乡建设部门负责依法督促建设工程责任单位加</w:t>
      </w:r>
    </w:p>
    <w:p>
      <w:pPr>
        <w:pStyle w:val="BodyText"/>
        <w:spacing w:line="312" w:lineRule="auto" w:before="1"/>
        <w:ind w:right="239"/>
        <w:jc w:val="both"/>
        <w:rPr>
          <w:rFonts w:ascii="宋体" w:eastAsia="宋体" w:hint="eastAsia"/>
        </w:rPr>
      </w:pPr>
      <w:r>
        <w:rPr>
          <w:rFonts w:ascii="宋体" w:eastAsia="宋体" w:hint="eastAsia"/>
          <w:color w:val="333333"/>
          <w:spacing w:val="-15"/>
        </w:rPr>
        <w:t>强对房屋建筑和市政基础设施工程建设的安全管理，在组织制定</w:t>
      </w:r>
      <w:r>
        <w:rPr>
          <w:rFonts w:ascii="宋体" w:eastAsia="宋体" w:hint="eastAsia"/>
          <w:color w:val="333333"/>
          <w:spacing w:val="-18"/>
        </w:rPr>
        <w:t>工程建设规范以及推广新技术、新材料、新工艺时，应充分考虑</w:t>
      </w:r>
      <w:r>
        <w:rPr>
          <w:rFonts w:ascii="宋体" w:eastAsia="宋体" w:hint="eastAsia"/>
          <w:color w:val="333333"/>
          <w:spacing w:val="-12"/>
        </w:rPr>
        <w:t>消防安全因素，满足有关消防安全性能及要求。</w:t>
      </w:r>
    </w:p>
    <w:p>
      <w:pPr>
        <w:pStyle w:val="BodyText"/>
        <w:spacing w:line="312" w:lineRule="auto" w:before="1"/>
        <w:ind w:right="235" w:firstLine="456"/>
        <w:jc w:val="both"/>
        <w:rPr>
          <w:rFonts w:ascii="宋体" w:eastAsia="宋体" w:hint="eastAsia"/>
        </w:rPr>
      </w:pPr>
      <w:r>
        <w:rPr>
          <w:rFonts w:ascii="宋体" w:eastAsia="宋体" w:hint="eastAsia"/>
          <w:color w:val="333333"/>
          <w:spacing w:val="-16"/>
        </w:rPr>
        <w:t>(七)交通运输部门负责在客运车站、港口、码头及交通工具</w:t>
      </w:r>
      <w:r>
        <w:rPr>
          <w:rFonts w:ascii="宋体" w:eastAsia="宋体" w:hint="eastAsia"/>
          <w:color w:val="333333"/>
          <w:spacing w:val="-6"/>
        </w:rPr>
        <w:t>管理中依法督促有关单位落实消防安全主体责任和有关消防工</w:t>
      </w:r>
      <w:r>
        <w:rPr>
          <w:rFonts w:ascii="宋体" w:eastAsia="宋体" w:hint="eastAsia"/>
          <w:color w:val="333333"/>
          <w:spacing w:val="-12"/>
        </w:rPr>
        <w:t>作制度。</w:t>
      </w:r>
    </w:p>
    <w:p>
      <w:pPr>
        <w:pStyle w:val="BodyText"/>
        <w:spacing w:line="312" w:lineRule="auto" w:before="1"/>
        <w:ind w:right="226" w:firstLine="470"/>
        <w:jc w:val="both"/>
        <w:rPr>
          <w:rFonts w:ascii="宋体" w:eastAsia="宋体" w:hint="eastAsia"/>
        </w:rPr>
      </w:pPr>
      <w:r>
        <w:rPr>
          <w:rFonts w:ascii="宋体" w:eastAsia="宋体" w:hint="eastAsia"/>
          <w:color w:val="333333"/>
          <w:spacing w:val="-5"/>
        </w:rPr>
        <w:t>(八)文化部门负责文化娱乐场所审批或管理中的行业消防</w:t>
      </w:r>
      <w:r>
        <w:rPr>
          <w:rFonts w:ascii="宋体" w:eastAsia="宋体" w:hint="eastAsia"/>
          <w:color w:val="333333"/>
          <w:spacing w:val="-17"/>
        </w:rPr>
        <w:t>安全工作，指导、监督公共图书馆、文化馆(站)、剧院等文化单</w:t>
      </w:r>
      <w:r>
        <w:rPr>
          <w:rFonts w:ascii="宋体" w:eastAsia="宋体" w:hint="eastAsia"/>
          <w:color w:val="333333"/>
          <w:spacing w:val="-12"/>
        </w:rPr>
        <w:t>位履行消防安全职责。</w:t>
      </w:r>
    </w:p>
    <w:p>
      <w:pPr>
        <w:pStyle w:val="BodyText"/>
        <w:spacing w:line="312" w:lineRule="auto" w:before="1"/>
        <w:ind w:right="239" w:firstLine="456"/>
        <w:rPr>
          <w:rFonts w:ascii="宋体" w:eastAsia="宋体" w:hint="eastAsia"/>
        </w:rPr>
      </w:pPr>
      <w:r>
        <w:rPr>
          <w:rFonts w:ascii="宋体" w:eastAsia="宋体" w:hint="eastAsia"/>
          <w:color w:val="333333"/>
          <w:spacing w:val="-15"/>
        </w:rPr>
        <w:t>(九)卫生计生部门负责医疗卫生机构、计划生育技术服务机</w:t>
      </w:r>
      <w:r>
        <w:rPr>
          <w:rFonts w:ascii="宋体" w:eastAsia="宋体" w:hint="eastAsia"/>
          <w:color w:val="333333"/>
          <w:spacing w:val="-12"/>
        </w:rPr>
        <w:t>构审批或管理中的行业消防安全。</w:t>
      </w:r>
    </w:p>
    <w:p>
      <w:pPr>
        <w:pStyle w:val="BodyText"/>
        <w:spacing w:line="312" w:lineRule="auto" w:before="2"/>
        <w:ind w:right="232" w:firstLine="470"/>
        <w:rPr>
          <w:rFonts w:ascii="宋体" w:eastAsia="宋体" w:hint="eastAsia"/>
        </w:rPr>
      </w:pPr>
      <w:r>
        <w:rPr>
          <w:rFonts w:ascii="宋体" w:eastAsia="宋体" w:hint="eastAsia"/>
          <w:color w:val="333333"/>
          <w:spacing w:val="-6"/>
        </w:rPr>
        <w:t>(十)工商行政管理部门负责依法对流通领域消防产品质量</w:t>
      </w:r>
      <w:r>
        <w:rPr>
          <w:rFonts w:ascii="宋体" w:eastAsia="宋体" w:hint="eastAsia"/>
          <w:color w:val="333333"/>
          <w:spacing w:val="-12"/>
        </w:rPr>
        <w:t>实施监督管理，查处流通领域消防产品质量违法行为。</w:t>
      </w:r>
    </w:p>
    <w:p>
      <w:pPr>
        <w:pStyle w:val="BodyText"/>
        <w:spacing w:line="312" w:lineRule="auto"/>
        <w:ind w:right="206" w:firstLine="470"/>
        <w:jc w:val="both"/>
        <w:rPr>
          <w:rFonts w:ascii="宋体" w:eastAsia="宋体" w:hint="eastAsia"/>
        </w:rPr>
      </w:pPr>
      <w:r>
        <w:rPr>
          <w:rFonts w:ascii="宋体" w:eastAsia="宋体" w:hint="eastAsia"/>
          <w:color w:val="333333"/>
          <w:spacing w:val="-5"/>
        </w:rPr>
        <w:t>(十一)质量技术监督部门负责依法督促特种设备生产单位</w:t>
      </w:r>
      <w:r>
        <w:rPr>
          <w:rFonts w:ascii="宋体" w:eastAsia="宋体" w:hint="eastAsia"/>
          <w:color w:val="333333"/>
          <w:spacing w:val="-14"/>
        </w:rPr>
        <w:t>加强特种设备生产过程中的消防安全管理，在组织制定特种设备</w:t>
      </w:r>
      <w:r>
        <w:rPr>
          <w:rFonts w:ascii="宋体" w:eastAsia="宋体" w:hint="eastAsia"/>
          <w:color w:val="333333"/>
          <w:spacing w:val="-18"/>
        </w:rPr>
        <w:t>产品及使用标准时，应充分考虑消防安全因素，满足有关消防安</w:t>
      </w:r>
      <w:r>
        <w:rPr>
          <w:rFonts w:ascii="宋体" w:eastAsia="宋体" w:hint="eastAsia"/>
          <w:color w:val="333333"/>
          <w:spacing w:val="-19"/>
        </w:rPr>
        <w:t>全性能及要求，积极推广消防新技术在特种设备产品中的应用。</w:t>
      </w:r>
      <w:r>
        <w:rPr>
          <w:rFonts w:ascii="宋体" w:eastAsia="宋体" w:hint="eastAsia"/>
          <w:color w:val="333333"/>
          <w:spacing w:val="-14"/>
        </w:rPr>
        <w:t>按照职责分工对消防产品质量实施监督管理，依法查处消防产品</w:t>
      </w:r>
      <w:r>
        <w:rPr>
          <w:rFonts w:ascii="宋体" w:eastAsia="宋体" w:hint="eastAsia"/>
          <w:color w:val="333333"/>
          <w:spacing w:val="-19"/>
        </w:rPr>
        <w:t>质量违法行为。做好消防安全相关标准制修订工作，负责消防相</w:t>
      </w:r>
      <w:r>
        <w:rPr>
          <w:rFonts w:ascii="宋体" w:eastAsia="宋体" w:hint="eastAsia"/>
          <w:color w:val="333333"/>
          <w:spacing w:val="-12"/>
        </w:rPr>
        <w:t>关产品质量认证监督管理工作。</w:t>
      </w:r>
    </w:p>
    <w:p>
      <w:pPr>
        <w:spacing w:after="0" w:line="312" w:lineRule="auto"/>
        <w:jc w:val="both"/>
        <w:rPr>
          <w:rFonts w:ascii="宋体" w:eastAsia="宋体" w:hint="eastAsia"/>
        </w:rPr>
        <w:sectPr>
          <w:pgSz w:w="8400" w:h="11910"/>
          <w:pgMar w:header="0" w:footer="870" w:top="1100" w:bottom="1060" w:left="820" w:right="780"/>
        </w:sectPr>
      </w:pPr>
    </w:p>
    <w:p>
      <w:pPr>
        <w:pStyle w:val="BodyText"/>
        <w:spacing w:line="312" w:lineRule="auto" w:before="127"/>
        <w:ind w:right="227" w:firstLine="470"/>
        <w:jc w:val="both"/>
        <w:rPr>
          <w:rFonts w:ascii="宋体" w:eastAsia="宋体" w:hint="eastAsia"/>
        </w:rPr>
      </w:pPr>
      <w:r>
        <w:rPr>
          <w:rFonts w:ascii="宋体" w:eastAsia="宋体" w:hint="eastAsia"/>
          <w:color w:val="333333"/>
          <w:spacing w:val="-5"/>
        </w:rPr>
        <w:t>(十二)新闻出版广电部门负责指导新闻出版广播影视机构</w:t>
      </w:r>
      <w:r>
        <w:rPr>
          <w:rFonts w:ascii="宋体" w:eastAsia="宋体" w:hint="eastAsia"/>
          <w:color w:val="333333"/>
          <w:spacing w:val="-18"/>
        </w:rPr>
        <w:t>消防安全管理，协助监督管理印刷业、网络视听节目服务机构消</w:t>
      </w:r>
      <w:r>
        <w:rPr>
          <w:rFonts w:ascii="宋体" w:eastAsia="宋体" w:hint="eastAsia"/>
          <w:color w:val="333333"/>
          <w:spacing w:val="-19"/>
        </w:rPr>
        <w:t>防安全。督促新闻媒体发布针对性消防安全提示，面向社会开展</w:t>
      </w:r>
      <w:r>
        <w:rPr>
          <w:rFonts w:ascii="宋体" w:eastAsia="宋体" w:hint="eastAsia"/>
          <w:color w:val="333333"/>
          <w:spacing w:val="-12"/>
        </w:rPr>
        <w:t>消防宣传教育。</w:t>
      </w:r>
    </w:p>
    <w:p>
      <w:pPr>
        <w:pStyle w:val="BodyText"/>
        <w:spacing w:line="312" w:lineRule="auto" w:before="2"/>
        <w:ind w:right="232" w:firstLine="470"/>
        <w:rPr>
          <w:rFonts w:ascii="宋体" w:eastAsia="宋体" w:hint="eastAsia"/>
        </w:rPr>
      </w:pPr>
      <w:r>
        <w:rPr>
          <w:rFonts w:ascii="宋体" w:eastAsia="宋体" w:hint="eastAsia"/>
          <w:color w:val="333333"/>
          <w:spacing w:val="-6"/>
        </w:rPr>
        <w:t>(十三)安全生产监督管理部门要严格依法实施有关行政审</w:t>
      </w:r>
      <w:r>
        <w:rPr>
          <w:rFonts w:ascii="宋体" w:eastAsia="宋体" w:hint="eastAsia"/>
          <w:color w:val="333333"/>
          <w:spacing w:val="-12"/>
        </w:rPr>
        <w:t>批，凡不符合法定条件的，不得核发有关安全生产许可。</w:t>
      </w:r>
    </w:p>
    <w:p>
      <w:pPr>
        <w:pStyle w:val="BodyText"/>
        <w:tabs>
          <w:tab w:pos="1806" w:val="left" w:leader="none"/>
        </w:tabs>
        <w:spacing w:line="362" w:lineRule="exact"/>
        <w:ind w:left="654"/>
        <w:rPr>
          <w:rFonts w:ascii="宋体" w:eastAsia="宋体" w:hint="eastAsia"/>
        </w:rPr>
      </w:pPr>
      <w:r>
        <w:rPr>
          <w:rFonts w:ascii="Microsoft JhengHei" w:eastAsia="Microsoft JhengHei" w:hint="eastAsia"/>
          <w:b/>
          <w:color w:val="333333"/>
          <w:spacing w:val="-10"/>
        </w:rPr>
        <w:t>第</w:t>
      </w:r>
      <w:r>
        <w:rPr>
          <w:rFonts w:ascii="Microsoft JhengHei" w:eastAsia="Microsoft JhengHei" w:hint="eastAsia"/>
          <w:b/>
          <w:color w:val="333333"/>
          <w:spacing w:val="-12"/>
        </w:rPr>
        <w:t>十</w:t>
      </w:r>
      <w:r>
        <w:rPr>
          <w:rFonts w:ascii="Microsoft JhengHei" w:eastAsia="Microsoft JhengHei" w:hint="eastAsia"/>
          <w:b/>
          <w:color w:val="333333"/>
          <w:spacing w:val="-10"/>
        </w:rPr>
        <w:t>四</w:t>
      </w:r>
      <w:r>
        <w:rPr>
          <w:rFonts w:ascii="Microsoft JhengHei" w:eastAsia="Microsoft JhengHei" w:hint="eastAsia"/>
          <w:b/>
          <w:color w:val="333333"/>
        </w:rPr>
        <w:t>条</w:t>
        <w:tab/>
      </w:r>
      <w:r>
        <w:rPr>
          <w:rFonts w:ascii="宋体" w:eastAsia="宋体" w:hint="eastAsia"/>
          <w:color w:val="333333"/>
          <w:spacing w:val="-12"/>
        </w:rPr>
        <w:t>具有行政管理或公共服务职能的部</w:t>
      </w:r>
      <w:r>
        <w:rPr>
          <w:rFonts w:ascii="宋体" w:eastAsia="宋体" w:hint="eastAsia"/>
          <w:color w:val="333333"/>
          <w:spacing w:val="-34"/>
        </w:rPr>
        <w:t>门，</w:t>
      </w:r>
      <w:r>
        <w:rPr>
          <w:rFonts w:ascii="宋体" w:eastAsia="宋体" w:hint="eastAsia"/>
          <w:color w:val="333333"/>
          <w:spacing w:val="-12"/>
        </w:rPr>
        <w:t>应当结合</w:t>
      </w:r>
    </w:p>
    <w:p>
      <w:pPr>
        <w:pStyle w:val="BodyText"/>
        <w:spacing w:before="39"/>
        <w:rPr>
          <w:rFonts w:ascii="宋体" w:eastAsia="宋体" w:hint="eastAsia"/>
        </w:rPr>
      </w:pPr>
      <w:r>
        <w:rPr>
          <w:rFonts w:ascii="宋体" w:eastAsia="宋体" w:hint="eastAsia"/>
          <w:color w:val="333333"/>
        </w:rPr>
        <w:t>本部门职责为消防工作提供支持和保障。</w:t>
      </w:r>
    </w:p>
    <w:p>
      <w:pPr>
        <w:pStyle w:val="BodyText"/>
        <w:spacing w:line="312" w:lineRule="auto" w:before="94"/>
        <w:ind w:right="227" w:firstLine="470"/>
        <w:jc w:val="both"/>
        <w:rPr>
          <w:rFonts w:ascii="宋体" w:eastAsia="宋体" w:hint="eastAsia"/>
        </w:rPr>
      </w:pPr>
      <w:r>
        <w:rPr>
          <w:rFonts w:ascii="宋体" w:eastAsia="宋体" w:hint="eastAsia"/>
          <w:color w:val="333333"/>
          <w:spacing w:val="-5"/>
        </w:rPr>
        <w:t>(一)发展改革部门应当将消防工作纳入国民经济和社会发</w:t>
      </w:r>
      <w:r>
        <w:rPr>
          <w:rFonts w:ascii="宋体" w:eastAsia="宋体" w:hint="eastAsia"/>
          <w:color w:val="333333"/>
          <w:spacing w:val="-17"/>
        </w:rPr>
        <w:t>展中长期规划。地方发展改革部门应当将公共消防设施建设列入</w:t>
      </w:r>
      <w:r>
        <w:rPr>
          <w:rFonts w:ascii="宋体" w:eastAsia="宋体" w:hint="eastAsia"/>
          <w:color w:val="333333"/>
          <w:spacing w:val="-12"/>
        </w:rPr>
        <w:t>地方固定资产投资计划。</w:t>
      </w:r>
    </w:p>
    <w:p>
      <w:pPr>
        <w:pStyle w:val="BodyText"/>
        <w:spacing w:line="312" w:lineRule="auto"/>
        <w:ind w:right="227" w:firstLine="470"/>
        <w:jc w:val="both"/>
        <w:rPr>
          <w:rFonts w:ascii="宋体" w:eastAsia="宋体" w:hint="eastAsia"/>
        </w:rPr>
      </w:pPr>
      <w:r>
        <w:rPr>
          <w:rFonts w:ascii="宋体" w:eastAsia="宋体" w:hint="eastAsia"/>
          <w:color w:val="333333"/>
          <w:spacing w:val="-5"/>
        </w:rPr>
        <w:t>(二)科技部门负责将消防科技进步纳入科技发展规划和中</w:t>
      </w:r>
      <w:r>
        <w:rPr>
          <w:rFonts w:ascii="宋体" w:eastAsia="宋体" w:hint="eastAsia"/>
          <w:color w:val="333333"/>
          <w:spacing w:val="-16"/>
        </w:rPr>
        <w:t>央财政科技计划(专项、基金等)并组织实施。组织指导消防安全</w:t>
      </w:r>
      <w:r>
        <w:rPr>
          <w:rFonts w:ascii="宋体" w:eastAsia="宋体" w:hint="eastAsia"/>
          <w:color w:val="333333"/>
          <w:spacing w:val="-18"/>
        </w:rPr>
        <w:t>重大科技攻关、基础研究和应用研究，会同有关部门推动消防科</w:t>
      </w:r>
      <w:r>
        <w:rPr>
          <w:rFonts w:ascii="宋体" w:eastAsia="宋体" w:hint="eastAsia"/>
          <w:color w:val="333333"/>
          <w:spacing w:val="-12"/>
        </w:rPr>
        <w:t>研成果转化应用。将消防知识纳入科普教育内容。</w:t>
      </w:r>
    </w:p>
    <w:p>
      <w:pPr>
        <w:pStyle w:val="BodyText"/>
        <w:spacing w:line="312" w:lineRule="auto"/>
        <w:ind w:right="227" w:firstLine="456"/>
        <w:jc w:val="both"/>
        <w:rPr>
          <w:rFonts w:ascii="宋体" w:eastAsia="宋体" w:hint="eastAsia"/>
        </w:rPr>
      </w:pPr>
      <w:r>
        <w:rPr>
          <w:rFonts w:ascii="宋体" w:eastAsia="宋体" w:hint="eastAsia"/>
          <w:color w:val="333333"/>
          <w:spacing w:val="-14"/>
        </w:rPr>
        <w:t>(三)工业和信息化部门负责指导督促通信业、通信设施建设</w:t>
      </w:r>
      <w:r>
        <w:rPr>
          <w:rFonts w:ascii="宋体" w:eastAsia="宋体" w:hint="eastAsia"/>
          <w:color w:val="333333"/>
          <w:spacing w:val="-18"/>
        </w:rPr>
        <w:t>以及民用爆炸物品生产、销售的消防安全管理。依据职责负责危</w:t>
      </w:r>
      <w:r>
        <w:rPr>
          <w:rFonts w:ascii="宋体" w:eastAsia="宋体" w:hint="eastAsia"/>
          <w:color w:val="333333"/>
          <w:spacing w:val="-21"/>
        </w:rPr>
        <w:t>险化学品生产、储存的行业规划和布局。将消防产业纳入应急产</w:t>
      </w:r>
      <w:r>
        <w:rPr>
          <w:rFonts w:ascii="宋体" w:eastAsia="宋体" w:hint="eastAsia"/>
          <w:color w:val="333333"/>
          <w:spacing w:val="-12"/>
        </w:rPr>
        <w:t>业同规划、同部署、同发展。</w:t>
      </w:r>
    </w:p>
    <w:p>
      <w:pPr>
        <w:pStyle w:val="BodyText"/>
        <w:spacing w:line="312" w:lineRule="auto" w:before="2"/>
        <w:ind w:right="239" w:firstLine="456"/>
        <w:jc w:val="both"/>
        <w:rPr>
          <w:rFonts w:ascii="宋体" w:eastAsia="宋体" w:hint="eastAsia"/>
        </w:rPr>
      </w:pPr>
      <w:r>
        <w:rPr>
          <w:rFonts w:ascii="宋体" w:eastAsia="宋体" w:hint="eastAsia"/>
          <w:color w:val="333333"/>
          <w:spacing w:val="-15"/>
        </w:rPr>
        <w:t>(四)司法行政部门负责指导监督监狱系统、司法行政系统强</w:t>
      </w:r>
      <w:r>
        <w:rPr>
          <w:rFonts w:ascii="宋体" w:eastAsia="宋体" w:hint="eastAsia"/>
          <w:color w:val="333333"/>
          <w:spacing w:val="-16"/>
        </w:rPr>
        <w:t>制隔离戒毒场所的消防安全管理。将消防法律法规纳入普法教育</w:t>
      </w:r>
      <w:r>
        <w:rPr>
          <w:rFonts w:ascii="宋体" w:eastAsia="宋体" w:hint="eastAsia"/>
          <w:color w:val="333333"/>
          <w:spacing w:val="-12"/>
        </w:rPr>
        <w:t>内容。</w:t>
      </w:r>
    </w:p>
    <w:p>
      <w:pPr>
        <w:pStyle w:val="BodyText"/>
        <w:spacing w:before="1"/>
        <w:ind w:left="656"/>
        <w:rPr>
          <w:rFonts w:ascii="宋体" w:eastAsia="宋体" w:hint="eastAsia"/>
        </w:rPr>
      </w:pPr>
      <w:r>
        <w:rPr>
          <w:rFonts w:ascii="宋体" w:eastAsia="宋体" w:hint="eastAsia"/>
          <w:color w:val="333333"/>
        </w:rPr>
        <w:t>(五)财政部门负责按规定对消防资金进行预算管理。</w:t>
      </w:r>
    </w:p>
    <w:p>
      <w:pPr>
        <w:pStyle w:val="BodyText"/>
        <w:spacing w:before="94"/>
        <w:ind w:left="654"/>
        <w:rPr>
          <w:rFonts w:ascii="宋体" w:eastAsia="宋体" w:hint="eastAsia"/>
        </w:rPr>
      </w:pPr>
      <w:r>
        <w:rPr>
          <w:rFonts w:ascii="宋体" w:eastAsia="宋体" w:hint="eastAsia"/>
          <w:color w:val="333333"/>
          <w:spacing w:val="-25"/>
        </w:rPr>
        <w:t>(六)商务部门负责指导、督促商贸行业的消防安全管理工作。</w:t>
      </w:r>
    </w:p>
    <w:p>
      <w:pPr>
        <w:spacing w:after="0"/>
        <w:rPr>
          <w:rFonts w:ascii="宋体" w:eastAsia="宋体" w:hint="eastAsia"/>
        </w:rPr>
        <w:sectPr>
          <w:pgSz w:w="8400" w:h="11910"/>
          <w:pgMar w:header="0" w:footer="870" w:top="1100" w:bottom="1060" w:left="820" w:right="780"/>
        </w:sectPr>
      </w:pPr>
    </w:p>
    <w:p>
      <w:pPr>
        <w:pStyle w:val="BodyText"/>
        <w:spacing w:line="312" w:lineRule="auto" w:before="127"/>
        <w:ind w:right="235" w:firstLine="456"/>
        <w:jc w:val="both"/>
        <w:rPr>
          <w:rFonts w:ascii="宋体" w:eastAsia="宋体" w:hint="eastAsia"/>
        </w:rPr>
      </w:pPr>
      <w:r>
        <w:rPr>
          <w:rFonts w:ascii="宋体" w:eastAsia="宋体" w:hint="eastAsia"/>
          <w:color w:val="333333"/>
          <w:spacing w:val="-16"/>
        </w:rPr>
        <w:t>(七)房地产管理部门负责指导、督促物业服务企业按照合同</w:t>
      </w:r>
      <w:r>
        <w:rPr>
          <w:rFonts w:ascii="宋体" w:eastAsia="宋体" w:hint="eastAsia"/>
          <w:color w:val="333333"/>
          <w:spacing w:val="-15"/>
        </w:rPr>
        <w:t>约定做好住宅小区共用消防设施的维护管理工作，并指导业主依</w:t>
      </w:r>
      <w:r>
        <w:rPr>
          <w:rFonts w:ascii="宋体" w:eastAsia="宋体" w:hint="eastAsia"/>
          <w:color w:val="333333"/>
          <w:spacing w:val="-6"/>
        </w:rPr>
        <w:t>照有关规定使用住宅专项维修资金对住宅小区共用消防设施进</w:t>
      </w:r>
      <w:r>
        <w:rPr>
          <w:rFonts w:ascii="宋体" w:eastAsia="宋体" w:hint="eastAsia"/>
          <w:color w:val="333333"/>
          <w:spacing w:val="-12"/>
        </w:rPr>
        <w:t>行维修、更新、改造。</w:t>
      </w:r>
    </w:p>
    <w:p>
      <w:pPr>
        <w:pStyle w:val="BodyText"/>
        <w:spacing w:line="312" w:lineRule="auto" w:before="2"/>
        <w:ind w:right="227" w:firstLine="456"/>
        <w:jc w:val="both"/>
        <w:rPr>
          <w:rFonts w:ascii="宋体" w:eastAsia="宋体" w:hint="eastAsia"/>
        </w:rPr>
      </w:pPr>
      <w:r>
        <w:rPr>
          <w:rFonts w:ascii="宋体" w:eastAsia="宋体" w:hint="eastAsia"/>
          <w:color w:val="333333"/>
          <w:spacing w:val="-15"/>
        </w:rPr>
        <w:t>(八)电力管理部门依法对电力企业和用户执行电力法律、行</w:t>
      </w:r>
      <w:r>
        <w:rPr>
          <w:rFonts w:ascii="宋体" w:eastAsia="宋体" w:hint="eastAsia"/>
          <w:color w:val="333333"/>
          <w:spacing w:val="-16"/>
        </w:rPr>
        <w:t>政法规的情况进行监督检查，督促企业严格遵守国家消防技术标</w:t>
      </w:r>
      <w:r>
        <w:rPr>
          <w:rFonts w:ascii="宋体" w:eastAsia="宋体" w:hint="eastAsia"/>
          <w:color w:val="333333"/>
          <w:spacing w:val="-19"/>
        </w:rPr>
        <w:t>准，落实企业主体责任。推广采用先进的火灾防范技术设施，引导用户规范用电。</w:t>
      </w:r>
    </w:p>
    <w:p>
      <w:pPr>
        <w:pStyle w:val="BodyText"/>
        <w:spacing w:line="312" w:lineRule="auto" w:before="2"/>
        <w:ind w:right="227" w:firstLine="456"/>
        <w:jc w:val="both"/>
        <w:rPr>
          <w:rFonts w:ascii="宋体" w:eastAsia="宋体" w:hint="eastAsia"/>
        </w:rPr>
      </w:pPr>
      <w:r>
        <w:rPr>
          <w:rFonts w:ascii="宋体" w:eastAsia="宋体" w:hint="eastAsia"/>
          <w:color w:val="333333"/>
          <w:spacing w:val="-15"/>
        </w:rPr>
        <w:t>(九)燃气管理部门负责加强城镇燃气安全监督管理工作，督</w:t>
      </w:r>
      <w:r>
        <w:rPr>
          <w:rFonts w:ascii="宋体" w:eastAsia="宋体" w:hint="eastAsia"/>
          <w:color w:val="333333"/>
          <w:spacing w:val="-5"/>
        </w:rPr>
        <w:t>促燃气经营者指导用户安全用气并对燃气设施定期进行安全检</w:t>
      </w:r>
      <w:r>
        <w:rPr>
          <w:rFonts w:ascii="宋体" w:eastAsia="宋体" w:hint="eastAsia"/>
          <w:color w:val="333333"/>
          <w:spacing w:val="-18"/>
        </w:rPr>
        <w:t>查、排除隐患，会同有关部门制定燃气安全事故应急预案，依法</w:t>
      </w:r>
      <w:r>
        <w:rPr>
          <w:rFonts w:ascii="宋体" w:eastAsia="宋体" w:hint="eastAsia"/>
          <w:color w:val="333333"/>
          <w:spacing w:val="-12"/>
        </w:rPr>
        <w:t>查处燃气经营者和燃气用户等各方主体的燃气违法行为。</w:t>
      </w:r>
    </w:p>
    <w:p>
      <w:pPr>
        <w:pStyle w:val="BodyText"/>
        <w:spacing w:line="307" w:lineRule="exact"/>
        <w:ind w:left="675"/>
        <w:rPr>
          <w:rFonts w:ascii="宋体" w:eastAsia="宋体" w:hint="eastAsia"/>
        </w:rPr>
      </w:pPr>
      <w:r>
        <w:rPr>
          <w:rFonts w:ascii="宋体" w:eastAsia="宋体" w:hint="eastAsia"/>
          <w:color w:val="333333"/>
        </w:rPr>
        <w:t>(十)人防部门负责对人民防空工程的维护管理进行监督检</w:t>
      </w:r>
    </w:p>
    <w:p>
      <w:pPr>
        <w:pStyle w:val="BodyText"/>
        <w:spacing w:before="94"/>
        <w:rPr>
          <w:rFonts w:ascii="宋体" w:eastAsia="宋体" w:hint="eastAsia"/>
        </w:rPr>
      </w:pPr>
      <w:r>
        <w:rPr>
          <w:rFonts w:ascii="宋体" w:eastAsia="宋体" w:hint="eastAsia"/>
          <w:color w:val="333333"/>
        </w:rPr>
        <w:t>查。</w:t>
      </w:r>
    </w:p>
    <w:p>
      <w:pPr>
        <w:pStyle w:val="BodyText"/>
        <w:spacing w:before="93"/>
        <w:ind w:left="656"/>
        <w:rPr>
          <w:rFonts w:ascii="宋体" w:eastAsia="宋体" w:hint="eastAsia"/>
        </w:rPr>
      </w:pPr>
      <w:r>
        <w:rPr>
          <w:rFonts w:ascii="宋体" w:eastAsia="宋体" w:hint="eastAsia"/>
          <w:color w:val="333333"/>
          <w:spacing w:val="-15"/>
        </w:rPr>
        <w:t>(十一)文物部门负责文物保护单位、世界文化遗产和博物馆</w:t>
      </w:r>
    </w:p>
    <w:p>
      <w:pPr>
        <w:pStyle w:val="BodyText"/>
        <w:spacing w:before="91"/>
        <w:rPr>
          <w:rFonts w:ascii="宋体" w:eastAsia="宋体" w:hint="eastAsia"/>
        </w:rPr>
      </w:pPr>
      <w:r>
        <w:rPr>
          <w:rFonts w:ascii="宋体" w:eastAsia="宋体" w:hint="eastAsia"/>
          <w:color w:val="333333"/>
        </w:rPr>
        <w:t>的行业消防安全管理。</w:t>
      </w:r>
    </w:p>
    <w:p>
      <w:pPr>
        <w:pStyle w:val="BodyText"/>
        <w:spacing w:line="312" w:lineRule="auto" w:before="94"/>
        <w:ind w:right="206" w:firstLine="456"/>
        <w:jc w:val="both"/>
        <w:rPr>
          <w:rFonts w:ascii="宋体" w:eastAsia="宋体" w:hint="eastAsia"/>
        </w:rPr>
      </w:pPr>
      <w:r>
        <w:rPr>
          <w:rFonts w:ascii="宋体" w:eastAsia="宋体" w:hint="eastAsia"/>
          <w:color w:val="333333"/>
          <w:spacing w:val="-13"/>
        </w:rPr>
        <w:t>(十二)体育、宗教事务、粮食等部门负责加强体育类场馆、</w:t>
      </w:r>
      <w:r>
        <w:rPr>
          <w:rFonts w:ascii="宋体" w:eastAsia="宋体" w:hint="eastAsia"/>
          <w:color w:val="333333"/>
          <w:spacing w:val="-18"/>
        </w:rPr>
        <w:t>宗教活动场所、储备粮储存环节等消防安全管理，指导开展消防</w:t>
      </w:r>
      <w:r>
        <w:rPr>
          <w:rFonts w:ascii="宋体" w:eastAsia="宋体" w:hint="eastAsia"/>
          <w:color w:val="333333"/>
          <w:spacing w:val="-12"/>
        </w:rPr>
        <w:t>安全标准化管理。</w:t>
      </w:r>
    </w:p>
    <w:p>
      <w:pPr>
        <w:pStyle w:val="BodyText"/>
        <w:spacing w:line="312" w:lineRule="auto"/>
        <w:ind w:right="227" w:firstLine="456"/>
        <w:jc w:val="both"/>
        <w:rPr>
          <w:rFonts w:ascii="宋体" w:eastAsia="宋体" w:hint="eastAsia"/>
        </w:rPr>
      </w:pPr>
      <w:r>
        <w:rPr>
          <w:rFonts w:ascii="宋体" w:eastAsia="宋体" w:hint="eastAsia"/>
          <w:color w:val="333333"/>
          <w:spacing w:val="-17"/>
        </w:rPr>
        <w:t>(十三)银行、证券、保险等金融监管机构负责督促银行业金</w:t>
      </w:r>
      <w:r>
        <w:rPr>
          <w:rFonts w:ascii="宋体" w:eastAsia="宋体" w:hint="eastAsia"/>
          <w:color w:val="333333"/>
          <w:spacing w:val="-18"/>
        </w:rPr>
        <w:t>融机构、证券业机构、保险机构及服务网点、派出机构落实消防安全管理。保险监管机构负责指导保险公司开展火灾公众责任保险业务，鼓励保险机构发挥火灾风险评估管控和火灾事故预防功</w:t>
      </w:r>
      <w:r>
        <w:rPr>
          <w:rFonts w:ascii="宋体" w:eastAsia="宋体" w:hint="eastAsia"/>
          <w:color w:val="333333"/>
          <w:spacing w:val="-12"/>
        </w:rPr>
        <w:t>能。</w:t>
      </w:r>
    </w:p>
    <w:p>
      <w:pPr>
        <w:spacing w:after="0" w:line="312" w:lineRule="auto"/>
        <w:jc w:val="both"/>
        <w:rPr>
          <w:rFonts w:ascii="宋体" w:eastAsia="宋体" w:hint="eastAsia"/>
        </w:rPr>
        <w:sectPr>
          <w:pgSz w:w="8400" w:h="11910"/>
          <w:pgMar w:header="0" w:footer="870" w:top="1100" w:bottom="1060" w:left="820" w:right="780"/>
        </w:sectPr>
      </w:pPr>
    </w:p>
    <w:p>
      <w:pPr>
        <w:pStyle w:val="BodyText"/>
        <w:spacing w:line="312" w:lineRule="auto" w:before="127"/>
        <w:ind w:right="229" w:firstLine="456"/>
        <w:rPr>
          <w:rFonts w:ascii="宋体" w:eastAsia="宋体" w:hint="eastAsia"/>
        </w:rPr>
      </w:pPr>
      <w:r>
        <w:rPr>
          <w:rFonts w:ascii="宋体" w:eastAsia="宋体" w:hint="eastAsia"/>
          <w:color w:val="333333"/>
          <w:spacing w:val="-17"/>
        </w:rPr>
        <w:t>(十四)农业、水利、交通运输等部门应当将消防水源、消防</w:t>
      </w:r>
      <w:r>
        <w:rPr>
          <w:rFonts w:ascii="宋体" w:eastAsia="宋体" w:hint="eastAsia"/>
          <w:color w:val="333333"/>
          <w:spacing w:val="-12"/>
        </w:rPr>
        <w:t>车通道等公共消防设施纳入相关基础设施建设工程。</w:t>
      </w:r>
    </w:p>
    <w:p>
      <w:pPr>
        <w:pStyle w:val="BodyText"/>
        <w:spacing w:line="312" w:lineRule="auto" w:before="2"/>
        <w:ind w:right="230" w:firstLine="456"/>
        <w:rPr>
          <w:rFonts w:ascii="宋体" w:eastAsia="宋体" w:hint="eastAsia"/>
        </w:rPr>
      </w:pPr>
      <w:r>
        <w:rPr>
          <w:rFonts w:ascii="宋体" w:eastAsia="宋体" w:hint="eastAsia"/>
          <w:color w:val="333333"/>
          <w:spacing w:val="-17"/>
        </w:rPr>
        <w:t>(十五)互联网信息、通信管理等部门应当指导网站、移动互</w:t>
      </w:r>
      <w:r>
        <w:rPr>
          <w:rFonts w:ascii="宋体" w:eastAsia="宋体" w:hint="eastAsia"/>
          <w:color w:val="333333"/>
          <w:spacing w:val="-12"/>
        </w:rPr>
        <w:t>联网媒体等开展公益性消防安全宣传。</w:t>
      </w:r>
    </w:p>
    <w:p>
      <w:pPr>
        <w:pStyle w:val="BodyText"/>
        <w:spacing w:line="312" w:lineRule="auto"/>
        <w:ind w:right="228" w:firstLine="456"/>
        <w:rPr>
          <w:rFonts w:ascii="宋体" w:eastAsia="宋体" w:hint="eastAsia"/>
        </w:rPr>
      </w:pPr>
      <w:r>
        <w:rPr>
          <w:rFonts w:ascii="宋体" w:eastAsia="宋体" w:hint="eastAsia"/>
          <w:color w:val="333333"/>
          <w:spacing w:val="-17"/>
        </w:rPr>
        <w:t>(十六)气象、水利、地震部门应当及时将重大灾害事故预警</w:t>
      </w:r>
      <w:r>
        <w:rPr>
          <w:rFonts w:ascii="宋体" w:eastAsia="宋体" w:hint="eastAsia"/>
          <w:color w:val="333333"/>
          <w:spacing w:val="-12"/>
        </w:rPr>
        <w:t>信息通报公安消防部门。</w:t>
      </w:r>
    </w:p>
    <w:p>
      <w:pPr>
        <w:pStyle w:val="BodyText"/>
        <w:spacing w:line="314" w:lineRule="auto"/>
        <w:ind w:right="230" w:firstLine="480"/>
        <w:rPr>
          <w:rFonts w:ascii="宋体" w:eastAsia="宋体" w:hint="eastAsia"/>
        </w:rPr>
      </w:pPr>
      <w:r>
        <w:rPr>
          <w:rFonts w:ascii="宋体" w:eastAsia="宋体" w:hint="eastAsia"/>
          <w:color w:val="333333"/>
          <w:spacing w:val="-8"/>
        </w:rPr>
        <w:t>(十七)负责公共消防设施维护管理的单位应当保持消防供</w:t>
      </w:r>
      <w:r>
        <w:rPr>
          <w:rFonts w:ascii="宋体" w:eastAsia="宋体" w:hint="eastAsia"/>
          <w:color w:val="333333"/>
          <w:spacing w:val="-12"/>
        </w:rPr>
        <w:t>水、消防通信、消防车通道等公共消防设施的完好有效。</w:t>
      </w:r>
    </w:p>
    <w:p>
      <w:pPr>
        <w:pStyle w:val="Heading2"/>
        <w:spacing w:before="110"/>
        <w:ind w:left="1758"/>
        <w:jc w:val="left"/>
      </w:pPr>
      <w:r>
        <w:rPr/>
        <w:t>第四章 单位消防安全职责</w:t>
      </w:r>
    </w:p>
    <w:p>
      <w:pPr>
        <w:pStyle w:val="BodyText"/>
        <w:spacing w:line="261" w:lineRule="auto" w:before="128"/>
        <w:ind w:right="225" w:firstLine="458"/>
        <w:rPr>
          <w:rFonts w:ascii="宋体" w:eastAsia="宋体" w:hint="eastAsia"/>
        </w:rPr>
      </w:pPr>
      <w:r>
        <w:rPr>
          <w:rFonts w:ascii="Microsoft JhengHei" w:eastAsia="Microsoft JhengHei" w:hint="eastAsia"/>
          <w:b/>
          <w:color w:val="333333"/>
          <w:spacing w:val="-12"/>
        </w:rPr>
        <w:t>第十五条</w:t>
      </w:r>
      <w:r>
        <w:rPr>
          <w:rFonts w:ascii="宋体" w:eastAsia="宋体" w:hint="eastAsia"/>
          <w:color w:val="333333"/>
          <w:spacing w:val="-20"/>
        </w:rPr>
        <w:t>机关、团体、企业、事业等单位应当落实消防安全主体责任，履行下列职责：</w:t>
      </w:r>
    </w:p>
    <w:p>
      <w:pPr>
        <w:pStyle w:val="BodyText"/>
        <w:spacing w:line="312" w:lineRule="auto" w:before="62"/>
        <w:ind w:right="206" w:firstLine="456"/>
        <w:jc w:val="both"/>
        <w:rPr>
          <w:rFonts w:ascii="宋体" w:eastAsia="宋体" w:hint="eastAsia"/>
        </w:rPr>
      </w:pPr>
      <w:r>
        <w:rPr>
          <w:rFonts w:ascii="宋体" w:eastAsia="宋体" w:hint="eastAsia"/>
          <w:color w:val="333333"/>
          <w:spacing w:val="-17"/>
        </w:rPr>
        <w:t>(一)明确各级、各岗位消防安全责任人及其职责，制定本单</w:t>
      </w:r>
      <w:r>
        <w:rPr>
          <w:rFonts w:ascii="宋体" w:eastAsia="宋体" w:hint="eastAsia"/>
          <w:color w:val="333333"/>
          <w:spacing w:val="-13"/>
        </w:rPr>
        <w:t>位的消防安全制度、消防安全操作规程、灭火和应急疏散预案。</w:t>
      </w:r>
      <w:r>
        <w:rPr>
          <w:rFonts w:ascii="宋体" w:eastAsia="宋体" w:hint="eastAsia"/>
          <w:color w:val="333333"/>
          <w:spacing w:val="-16"/>
        </w:rPr>
        <w:t>定期组织开展灭火和应急疏散演练，进行消防工作检查考核，保</w:t>
      </w:r>
      <w:r>
        <w:rPr>
          <w:rFonts w:ascii="宋体" w:eastAsia="宋体" w:hint="eastAsia"/>
          <w:color w:val="333333"/>
          <w:spacing w:val="-12"/>
        </w:rPr>
        <w:t>证各项规章制度落实。</w:t>
      </w:r>
    </w:p>
    <w:p>
      <w:pPr>
        <w:pStyle w:val="BodyText"/>
        <w:spacing w:line="312" w:lineRule="auto" w:before="2"/>
        <w:ind w:right="227" w:firstLine="456"/>
        <w:jc w:val="both"/>
        <w:rPr>
          <w:rFonts w:ascii="宋体" w:eastAsia="宋体" w:hint="eastAsia"/>
        </w:rPr>
      </w:pPr>
      <w:r>
        <w:rPr>
          <w:rFonts w:ascii="宋体" w:eastAsia="宋体" w:hint="eastAsia"/>
          <w:color w:val="333333"/>
          <w:spacing w:val="-16"/>
        </w:rPr>
        <w:t>(二)保证防火检查巡查、消防设施器材维护保养、建筑消防</w:t>
      </w:r>
      <w:r>
        <w:rPr>
          <w:rFonts w:ascii="宋体" w:eastAsia="宋体" w:hint="eastAsia"/>
          <w:color w:val="333333"/>
          <w:spacing w:val="-20"/>
        </w:rPr>
        <w:t>设施检测、火灾隐患整改、专职或志愿消防队和微型消防站建设</w:t>
      </w:r>
      <w:r>
        <w:rPr>
          <w:rFonts w:ascii="宋体" w:eastAsia="宋体" w:hint="eastAsia"/>
          <w:color w:val="333333"/>
          <w:spacing w:val="-16"/>
        </w:rPr>
        <w:t>等消防工作所需资金的投入。生产经营单位安全费用应当保证适当比例用于消防工作。</w:t>
      </w:r>
    </w:p>
    <w:p>
      <w:pPr>
        <w:pStyle w:val="BodyText"/>
        <w:spacing w:line="295" w:lineRule="auto"/>
        <w:ind w:right="180" w:firstLine="470"/>
        <w:jc w:val="both"/>
        <w:rPr>
          <w:rFonts w:ascii="宋体" w:eastAsia="宋体" w:hint="eastAsia"/>
        </w:rPr>
      </w:pPr>
      <w:r>
        <w:rPr>
          <w:rFonts w:ascii="宋体" w:eastAsia="宋体" w:hint="eastAsia"/>
          <w:color w:val="333333"/>
          <w:spacing w:val="-5"/>
        </w:rPr>
        <w:t>(三)按照相关标准配备消防设施、器材，设臵消防安全标志，定期检验维修，对建筑消防设施每年至少进行一次全面检</w:t>
      </w:r>
      <w:r>
        <w:rPr>
          <w:rFonts w:ascii="宋体" w:eastAsia="宋体" w:hint="eastAsia"/>
          <w:color w:val="333333"/>
          <w:spacing w:val="-25"/>
        </w:rPr>
        <w:t>测，确保完好有效。设有消防控制室的，实行 </w:t>
      </w:r>
      <w:r>
        <w:rPr>
          <w:rFonts w:ascii="宋体" w:eastAsia="宋体" w:hint="eastAsia"/>
          <w:color w:val="333333"/>
          <w:spacing w:val="-3"/>
        </w:rPr>
        <w:t>24</w:t>
      </w:r>
      <w:r>
        <w:rPr>
          <w:rFonts w:ascii="宋体" w:eastAsia="宋体" w:hint="eastAsia"/>
          <w:color w:val="333333"/>
          <w:spacing w:val="-18"/>
        </w:rPr>
        <w:t> 小时值班制度，</w:t>
      </w:r>
    </w:p>
    <w:p>
      <w:pPr>
        <w:pStyle w:val="BodyText"/>
        <w:jc w:val="both"/>
        <w:rPr>
          <w:rFonts w:ascii="宋体" w:eastAsia="宋体" w:hint="eastAsia"/>
        </w:rPr>
      </w:pPr>
      <w:r>
        <w:rPr>
          <w:rFonts w:ascii="宋体" w:eastAsia="宋体" w:hint="eastAsia"/>
          <w:color w:val="333333"/>
        </w:rPr>
        <w:t>每班不少于 2 人，并持证上岗。</w:t>
      </w:r>
    </w:p>
    <w:p>
      <w:pPr>
        <w:spacing w:after="0"/>
        <w:jc w:val="both"/>
        <w:rPr>
          <w:rFonts w:ascii="宋体" w:eastAsia="宋体" w:hint="eastAsia"/>
        </w:rPr>
        <w:sectPr>
          <w:pgSz w:w="8400" w:h="11910"/>
          <w:pgMar w:header="0" w:footer="870" w:top="1100" w:bottom="1060" w:left="820" w:right="780"/>
        </w:sectPr>
      </w:pPr>
    </w:p>
    <w:p>
      <w:pPr>
        <w:pStyle w:val="BodyText"/>
        <w:spacing w:line="312" w:lineRule="auto" w:before="127"/>
        <w:ind w:right="226" w:firstLine="465"/>
        <w:jc w:val="both"/>
        <w:rPr>
          <w:rFonts w:ascii="宋体" w:eastAsia="宋体" w:hint="eastAsia"/>
        </w:rPr>
      </w:pPr>
      <w:r>
        <w:rPr>
          <w:rFonts w:ascii="宋体" w:eastAsia="宋体" w:hint="eastAsia"/>
          <w:color w:val="333333"/>
          <w:spacing w:val="-9"/>
        </w:rPr>
        <w:t>(四)保障疏散通道、安全出口、消防车通道畅通，保证防</w:t>
      </w:r>
      <w:r>
        <w:rPr>
          <w:rFonts w:ascii="宋体" w:eastAsia="宋体" w:hint="eastAsia"/>
          <w:color w:val="333333"/>
        </w:rPr>
        <w:t>火防烟分区、防火间距符合消防技术标准。人员密集场所的</w:t>
      </w:r>
      <w:r>
        <w:rPr>
          <w:rFonts w:ascii="宋体" w:eastAsia="宋体" w:hint="eastAsia"/>
          <w:color w:val="333333"/>
          <w:spacing w:val="14"/>
        </w:rPr>
        <w:t>门窗不得设臵影响逃生和灭火救援的障碍物。保证建筑构</w:t>
      </w:r>
      <w:r>
        <w:rPr>
          <w:rFonts w:ascii="宋体" w:eastAsia="宋体" w:hint="eastAsia"/>
          <w:color w:val="333333"/>
        </w:rPr>
        <w:t>件、建筑材料和室内装修装饰材料等符合消防技术标准。</w:t>
      </w:r>
    </w:p>
    <w:p>
      <w:pPr>
        <w:pStyle w:val="BodyText"/>
        <w:spacing w:before="2"/>
        <w:ind w:left="680"/>
        <w:rPr>
          <w:rFonts w:ascii="宋体" w:eastAsia="宋体" w:hint="eastAsia"/>
        </w:rPr>
      </w:pPr>
      <w:r>
        <w:rPr>
          <w:rFonts w:ascii="宋体" w:eastAsia="宋体" w:hint="eastAsia"/>
          <w:color w:val="333333"/>
        </w:rPr>
        <w:t>(五)定期开展防火检查、巡查，及时消除火灾隐患。</w:t>
      </w:r>
    </w:p>
    <w:p>
      <w:pPr>
        <w:pStyle w:val="BodyText"/>
        <w:spacing w:line="312" w:lineRule="auto" w:before="93"/>
        <w:ind w:right="235" w:firstLine="489"/>
        <w:jc w:val="both"/>
        <w:rPr>
          <w:rFonts w:ascii="宋体" w:eastAsia="宋体" w:hint="eastAsia"/>
        </w:rPr>
      </w:pPr>
      <w:r>
        <w:rPr>
          <w:rFonts w:ascii="宋体" w:eastAsia="宋体" w:hint="eastAsia"/>
          <w:color w:val="333333"/>
        </w:rPr>
        <w:t>(六)根据需要建立专职或志愿消防队、微型消防站，加强队伍建设，定期组织训练演练，加强消防装备配备和灭火药剂储备，建立与公安消防队联勤联动机制，提高扑救初起火灾能力。</w:t>
      </w:r>
    </w:p>
    <w:p>
      <w:pPr>
        <w:pStyle w:val="BodyText"/>
        <w:ind w:left="690"/>
        <w:rPr>
          <w:rFonts w:ascii="宋体" w:eastAsia="宋体" w:hint="eastAsia"/>
        </w:rPr>
      </w:pPr>
      <w:r>
        <w:rPr>
          <w:rFonts w:ascii="宋体" w:eastAsia="宋体" w:hint="eastAsia"/>
          <w:color w:val="333333"/>
        </w:rPr>
        <w:t>(七)消防法律、法规、规章以及政策文件规定的其他职</w:t>
      </w:r>
    </w:p>
    <w:p>
      <w:pPr>
        <w:pStyle w:val="BodyText"/>
        <w:spacing w:before="94"/>
        <w:rPr>
          <w:rFonts w:ascii="宋体" w:eastAsia="宋体" w:hint="eastAsia"/>
        </w:rPr>
      </w:pPr>
      <w:r>
        <w:rPr>
          <w:rFonts w:ascii="宋体" w:eastAsia="宋体" w:hint="eastAsia"/>
          <w:color w:val="333333"/>
        </w:rPr>
        <w:t>责。</w:t>
      </w:r>
    </w:p>
    <w:p>
      <w:pPr>
        <w:tabs>
          <w:tab w:pos="1916" w:val="left" w:leader="none"/>
        </w:tabs>
        <w:spacing w:before="14"/>
        <w:ind w:left="690" w:right="0" w:firstLine="0"/>
        <w:jc w:val="left"/>
        <w:rPr>
          <w:rFonts w:ascii="宋体" w:eastAsia="宋体" w:hint="eastAsia"/>
          <w:sz w:val="24"/>
        </w:rPr>
      </w:pPr>
      <w:r>
        <w:rPr>
          <w:rFonts w:ascii="Microsoft JhengHei" w:eastAsia="Microsoft JhengHei" w:hint="eastAsia"/>
          <w:b/>
          <w:color w:val="333333"/>
          <w:spacing w:val="4"/>
          <w:sz w:val="24"/>
        </w:rPr>
        <w:t>第十六</w:t>
      </w:r>
      <w:r>
        <w:rPr>
          <w:rFonts w:ascii="Microsoft JhengHei" w:eastAsia="Microsoft JhengHei" w:hint="eastAsia"/>
          <w:b/>
          <w:color w:val="333333"/>
          <w:sz w:val="24"/>
        </w:rPr>
        <w:t>条</w:t>
        <w:tab/>
      </w:r>
      <w:r>
        <w:rPr>
          <w:rFonts w:ascii="宋体" w:eastAsia="宋体" w:hint="eastAsia"/>
          <w:color w:val="333333"/>
          <w:spacing w:val="4"/>
          <w:sz w:val="24"/>
        </w:rPr>
        <w:t>消</w:t>
      </w:r>
      <w:r>
        <w:rPr>
          <w:rFonts w:ascii="宋体" w:eastAsia="宋体" w:hint="eastAsia"/>
          <w:color w:val="333333"/>
          <w:sz w:val="24"/>
        </w:rPr>
        <w:t>防安</w:t>
      </w:r>
      <w:r>
        <w:rPr>
          <w:rFonts w:ascii="宋体" w:eastAsia="宋体" w:hint="eastAsia"/>
          <w:color w:val="333333"/>
          <w:spacing w:val="4"/>
          <w:sz w:val="24"/>
        </w:rPr>
        <w:t>全重点单位</w:t>
      </w:r>
      <w:r>
        <w:rPr>
          <w:rFonts w:ascii="宋体" w:eastAsia="宋体" w:hint="eastAsia"/>
          <w:color w:val="333333"/>
          <w:sz w:val="24"/>
        </w:rPr>
        <w:t>除</w:t>
      </w:r>
      <w:r>
        <w:rPr>
          <w:rFonts w:ascii="宋体" w:eastAsia="宋体" w:hint="eastAsia"/>
          <w:color w:val="333333"/>
          <w:spacing w:val="4"/>
          <w:sz w:val="24"/>
        </w:rPr>
        <w:t>履行第</w:t>
      </w:r>
      <w:r>
        <w:rPr>
          <w:rFonts w:ascii="宋体" w:eastAsia="宋体" w:hint="eastAsia"/>
          <w:color w:val="333333"/>
          <w:sz w:val="24"/>
        </w:rPr>
        <w:t>十</w:t>
      </w:r>
      <w:r>
        <w:rPr>
          <w:rFonts w:ascii="宋体" w:eastAsia="宋体" w:hint="eastAsia"/>
          <w:color w:val="333333"/>
          <w:spacing w:val="4"/>
          <w:sz w:val="24"/>
        </w:rPr>
        <w:t>五条规定的</w:t>
      </w:r>
      <w:r>
        <w:rPr>
          <w:rFonts w:ascii="宋体" w:eastAsia="宋体" w:hint="eastAsia"/>
          <w:color w:val="333333"/>
          <w:sz w:val="24"/>
        </w:rPr>
        <w:t>职</w:t>
      </w:r>
    </w:p>
    <w:p>
      <w:pPr>
        <w:pStyle w:val="BodyText"/>
        <w:spacing w:before="36"/>
        <w:rPr>
          <w:rFonts w:ascii="宋体" w:eastAsia="宋体" w:hint="eastAsia"/>
        </w:rPr>
      </w:pPr>
      <w:r>
        <w:rPr>
          <w:rFonts w:ascii="宋体" w:eastAsia="宋体" w:hint="eastAsia"/>
          <w:color w:val="333333"/>
        </w:rPr>
        <w:t>责外，还应当履行下列职责：</w:t>
      </w:r>
    </w:p>
    <w:p>
      <w:pPr>
        <w:pStyle w:val="BodyText"/>
        <w:spacing w:line="312" w:lineRule="auto" w:before="93"/>
        <w:ind w:right="226" w:firstLine="489"/>
        <w:jc w:val="both"/>
        <w:rPr>
          <w:rFonts w:ascii="宋体" w:eastAsia="宋体" w:hint="eastAsia"/>
        </w:rPr>
      </w:pPr>
      <w:r>
        <w:rPr>
          <w:rFonts w:ascii="宋体" w:eastAsia="宋体" w:hint="eastAsia"/>
          <w:color w:val="333333"/>
        </w:rPr>
        <w:t>(一)明确承担消防安全管理工作的机构和消防安全管理人并报知当地公安消防部门，组织实施本单位消防安全管理。消防安全管理人应当经过消防培训。</w:t>
      </w:r>
    </w:p>
    <w:p>
      <w:pPr>
        <w:pStyle w:val="BodyText"/>
        <w:spacing w:line="312" w:lineRule="auto" w:before="2"/>
        <w:ind w:right="242" w:firstLine="489"/>
        <w:rPr>
          <w:rFonts w:ascii="宋体" w:eastAsia="宋体" w:hint="eastAsia"/>
        </w:rPr>
      </w:pPr>
      <w:r>
        <w:rPr>
          <w:rFonts w:ascii="宋体" w:eastAsia="宋体" w:hint="eastAsia"/>
          <w:color w:val="333333"/>
        </w:rPr>
        <w:t>(二)建立消防档案，确定消防安全重点部位，设臵防火标志，实行严格管理。</w:t>
      </w:r>
    </w:p>
    <w:p>
      <w:pPr>
        <w:pStyle w:val="BodyText"/>
        <w:spacing w:line="312" w:lineRule="auto"/>
        <w:ind w:right="235" w:firstLine="489"/>
        <w:jc w:val="both"/>
        <w:rPr>
          <w:rFonts w:ascii="宋体" w:eastAsia="宋体" w:hint="eastAsia"/>
        </w:rPr>
      </w:pPr>
      <w:r>
        <w:rPr>
          <w:rFonts w:ascii="宋体" w:eastAsia="宋体" w:hint="eastAsia"/>
          <w:color w:val="333333"/>
        </w:rPr>
        <w:t>(三)安装、使用电器产品、燃气用具和敷设电气线路、管线必须符合相关标准和用电、用气安全管理规定，并定期维护保养、检测。</w:t>
      </w:r>
    </w:p>
    <w:p>
      <w:pPr>
        <w:pStyle w:val="BodyText"/>
        <w:spacing w:line="312" w:lineRule="auto" w:before="1"/>
        <w:ind w:right="242" w:firstLine="489"/>
        <w:rPr>
          <w:rFonts w:ascii="宋体" w:eastAsia="宋体" w:hint="eastAsia"/>
        </w:rPr>
      </w:pPr>
      <w:r>
        <w:rPr>
          <w:rFonts w:ascii="宋体" w:eastAsia="宋体" w:hint="eastAsia"/>
          <w:color w:val="333333"/>
        </w:rPr>
        <w:t>(四)组织员工进行岗前消防安全培训，定期组织消防安全培训和疏散演练。</w:t>
      </w:r>
    </w:p>
    <w:p>
      <w:pPr>
        <w:spacing w:after="0" w:line="312" w:lineRule="auto"/>
        <w:rPr>
          <w:rFonts w:ascii="宋体" w:eastAsia="宋体" w:hint="eastAsia"/>
        </w:rPr>
        <w:sectPr>
          <w:pgSz w:w="8400" w:h="11910"/>
          <w:pgMar w:header="0" w:footer="870" w:top="1100" w:bottom="1060" w:left="820" w:right="780"/>
        </w:sectPr>
      </w:pPr>
    </w:p>
    <w:p>
      <w:pPr>
        <w:pStyle w:val="BodyText"/>
        <w:spacing w:line="312" w:lineRule="auto" w:before="127"/>
        <w:ind w:right="242" w:firstLine="489"/>
        <w:rPr>
          <w:rFonts w:ascii="宋体" w:eastAsia="宋体" w:hint="eastAsia"/>
        </w:rPr>
      </w:pPr>
      <w:r>
        <w:rPr>
          <w:rFonts w:ascii="宋体" w:eastAsia="宋体" w:hint="eastAsia"/>
          <w:color w:val="333333"/>
        </w:rPr>
        <w:t>(五)根据需要建立微型消防站，积极参与消防安全区域联防联控，提高自防自救能力。</w:t>
      </w:r>
    </w:p>
    <w:p>
      <w:pPr>
        <w:pStyle w:val="BodyText"/>
        <w:spacing w:line="328" w:lineRule="auto" w:before="19"/>
        <w:ind w:right="242" w:firstLine="456"/>
        <w:rPr>
          <w:rFonts w:ascii="宋体" w:eastAsia="宋体" w:hint="eastAsia"/>
        </w:rPr>
      </w:pPr>
      <w:r>
        <w:rPr>
          <w:rFonts w:ascii="宋体" w:eastAsia="宋体" w:hint="eastAsia"/>
          <w:color w:val="333333"/>
          <w:spacing w:val="-17"/>
        </w:rPr>
        <w:t>(六)积极应用消防远程监控、电气火灾监测、物联网技术等</w:t>
      </w:r>
      <w:r>
        <w:rPr>
          <w:rFonts w:ascii="宋体" w:eastAsia="宋体" w:hint="eastAsia"/>
          <w:color w:val="333333"/>
          <w:spacing w:val="-12"/>
        </w:rPr>
        <w:t>技防物防措施。</w:t>
      </w:r>
    </w:p>
    <w:p>
      <w:pPr>
        <w:pStyle w:val="BodyText"/>
        <w:tabs>
          <w:tab w:pos="1806" w:val="left" w:leader="none"/>
        </w:tabs>
        <w:spacing w:line="360" w:lineRule="exact"/>
        <w:ind w:left="654"/>
        <w:rPr>
          <w:rFonts w:ascii="宋体" w:eastAsia="宋体" w:hint="eastAsia"/>
        </w:rPr>
      </w:pPr>
      <w:r>
        <w:rPr>
          <w:rFonts w:ascii="Microsoft JhengHei" w:eastAsia="Microsoft JhengHei" w:hint="eastAsia"/>
          <w:b/>
          <w:color w:val="333333"/>
          <w:spacing w:val="-10"/>
        </w:rPr>
        <w:t>第</w:t>
      </w:r>
      <w:r>
        <w:rPr>
          <w:rFonts w:ascii="Microsoft JhengHei" w:eastAsia="Microsoft JhengHei" w:hint="eastAsia"/>
          <w:b/>
          <w:color w:val="333333"/>
          <w:spacing w:val="-12"/>
        </w:rPr>
        <w:t>十</w:t>
      </w:r>
      <w:r>
        <w:rPr>
          <w:rFonts w:ascii="Microsoft JhengHei" w:eastAsia="Microsoft JhengHei" w:hint="eastAsia"/>
          <w:b/>
          <w:color w:val="333333"/>
          <w:spacing w:val="-10"/>
        </w:rPr>
        <w:t>七</w:t>
      </w:r>
      <w:r>
        <w:rPr>
          <w:rFonts w:ascii="Microsoft JhengHei" w:eastAsia="Microsoft JhengHei" w:hint="eastAsia"/>
          <w:b/>
          <w:color w:val="333333"/>
        </w:rPr>
        <w:t>条</w:t>
        <w:tab/>
      </w:r>
      <w:r>
        <w:rPr>
          <w:rFonts w:ascii="宋体" w:eastAsia="宋体" w:hint="eastAsia"/>
          <w:color w:val="333333"/>
          <w:spacing w:val="-12"/>
        </w:rPr>
        <w:t>对容易造成群死群伤火灾的人员密集场</w:t>
      </w:r>
      <w:r>
        <w:rPr>
          <w:rFonts w:ascii="宋体" w:eastAsia="宋体" w:hint="eastAsia"/>
          <w:color w:val="333333"/>
          <w:spacing w:val="-34"/>
        </w:rPr>
        <w:t>所、</w:t>
      </w:r>
      <w:r>
        <w:rPr>
          <w:rFonts w:ascii="宋体" w:eastAsia="宋体" w:hint="eastAsia"/>
          <w:color w:val="333333"/>
          <w:spacing w:val="-12"/>
        </w:rPr>
        <w:t>易燃</w:t>
      </w:r>
    </w:p>
    <w:p>
      <w:pPr>
        <w:pStyle w:val="BodyText"/>
        <w:spacing w:line="328" w:lineRule="auto" w:before="58"/>
        <w:ind w:right="230"/>
        <w:rPr>
          <w:rFonts w:ascii="宋体" w:eastAsia="宋体" w:hint="eastAsia"/>
        </w:rPr>
      </w:pPr>
      <w:r>
        <w:rPr>
          <w:rFonts w:ascii="宋体" w:eastAsia="宋体" w:hint="eastAsia"/>
          <w:color w:val="333333"/>
          <w:spacing w:val="-17"/>
        </w:rPr>
        <w:t>易爆单位和高层、地下公共建筑等火灾高危单位，除履行第十五</w:t>
      </w:r>
      <w:r>
        <w:rPr>
          <w:rFonts w:ascii="宋体" w:eastAsia="宋体" w:hint="eastAsia"/>
          <w:color w:val="333333"/>
          <w:spacing w:val="-12"/>
        </w:rPr>
        <w:t>条、第十六条规定的职责外，还应当履行下列职责：</w:t>
      </w:r>
    </w:p>
    <w:p>
      <w:pPr>
        <w:pStyle w:val="BodyText"/>
        <w:spacing w:line="328" w:lineRule="auto"/>
        <w:ind w:right="230" w:firstLine="456"/>
        <w:jc w:val="both"/>
        <w:rPr>
          <w:rFonts w:ascii="宋体" w:eastAsia="宋体" w:hint="eastAsia"/>
        </w:rPr>
      </w:pPr>
      <w:r>
        <w:rPr>
          <w:rFonts w:ascii="宋体" w:eastAsia="宋体" w:hint="eastAsia"/>
          <w:color w:val="333333"/>
          <w:spacing w:val="-16"/>
        </w:rPr>
        <w:t>(一)定期召开消防安全工作例会，研究本单位消防工作，处</w:t>
      </w:r>
      <w:r>
        <w:rPr>
          <w:rFonts w:ascii="宋体" w:eastAsia="宋体" w:hint="eastAsia"/>
          <w:color w:val="333333"/>
          <w:spacing w:val="-17"/>
        </w:rPr>
        <w:t>理涉及消防经费投入、消防设施设备购臵、火灾隐患整改等重大问题。</w:t>
      </w:r>
    </w:p>
    <w:p>
      <w:pPr>
        <w:pStyle w:val="BodyText"/>
        <w:spacing w:line="328" w:lineRule="auto"/>
        <w:ind w:right="227" w:firstLine="456"/>
        <w:jc w:val="both"/>
        <w:rPr>
          <w:rFonts w:ascii="宋体" w:eastAsia="宋体" w:hint="eastAsia"/>
        </w:rPr>
      </w:pPr>
      <w:r>
        <w:rPr>
          <w:rFonts w:ascii="宋体" w:eastAsia="宋体" w:hint="eastAsia"/>
          <w:color w:val="333333"/>
          <w:spacing w:val="-15"/>
        </w:rPr>
        <w:t>(二)鼓励消防安全管理人取得注册消防工程师执业资格，消</w:t>
      </w:r>
      <w:r>
        <w:rPr>
          <w:rFonts w:ascii="宋体" w:eastAsia="宋体" w:hint="eastAsia"/>
          <w:color w:val="333333"/>
          <w:spacing w:val="-14"/>
        </w:rPr>
        <w:t>防安全责任人和特有工种人员须经消防安全培训；自动消防设施操作人员应取得建(构)筑物消防员资格证书。</w:t>
      </w:r>
    </w:p>
    <w:p>
      <w:pPr>
        <w:pStyle w:val="BodyText"/>
        <w:spacing w:line="328" w:lineRule="auto"/>
        <w:ind w:right="206" w:firstLine="470"/>
        <w:jc w:val="both"/>
        <w:rPr>
          <w:rFonts w:ascii="宋体" w:eastAsia="宋体" w:hint="eastAsia"/>
        </w:rPr>
      </w:pPr>
      <w:r>
        <w:rPr>
          <w:rFonts w:ascii="宋体" w:eastAsia="宋体" w:hint="eastAsia"/>
          <w:color w:val="333333"/>
          <w:spacing w:val="-5"/>
        </w:rPr>
        <w:t>(三)专职消防队或微型消防站应当根据本单位火灾危险特</w:t>
      </w:r>
      <w:r>
        <w:rPr>
          <w:rFonts w:ascii="宋体" w:eastAsia="宋体" w:hint="eastAsia"/>
          <w:color w:val="333333"/>
          <w:spacing w:val="-13"/>
        </w:rPr>
        <w:t>性配备相应的消防装备器材，储备足够的灭火救援药剂和物资， </w:t>
      </w:r>
      <w:r>
        <w:rPr>
          <w:rFonts w:ascii="宋体" w:eastAsia="宋体" w:hint="eastAsia"/>
          <w:color w:val="333333"/>
          <w:spacing w:val="-12"/>
        </w:rPr>
        <w:t>定期组织消防业务学习和灭火技能训练。</w:t>
      </w:r>
    </w:p>
    <w:p>
      <w:pPr>
        <w:pStyle w:val="BodyText"/>
        <w:spacing w:line="328" w:lineRule="auto"/>
        <w:ind w:left="656" w:right="206"/>
        <w:rPr>
          <w:rFonts w:ascii="宋体" w:eastAsia="宋体" w:hint="eastAsia"/>
        </w:rPr>
      </w:pPr>
      <w:r>
        <w:rPr>
          <w:rFonts w:ascii="宋体" w:eastAsia="宋体" w:hint="eastAsia"/>
          <w:color w:val="333333"/>
          <w:spacing w:val="-13"/>
        </w:rPr>
        <w:t>(四)按照国家标准配备应急逃生设施设备和疏散引导器材。</w:t>
      </w:r>
      <w:r>
        <w:rPr>
          <w:rFonts w:ascii="宋体" w:eastAsia="宋体" w:hint="eastAsia"/>
          <w:color w:val="333333"/>
          <w:spacing w:val="-16"/>
        </w:rPr>
        <w:t>(五)建立消防安全评估制度，由具有资质的机构定期开展评</w:t>
      </w:r>
    </w:p>
    <w:p>
      <w:pPr>
        <w:pStyle w:val="BodyText"/>
        <w:spacing w:line="305" w:lineRule="exact"/>
        <w:rPr>
          <w:rFonts w:ascii="宋体" w:eastAsia="宋体" w:hint="eastAsia"/>
        </w:rPr>
      </w:pPr>
      <w:r>
        <w:rPr>
          <w:rFonts w:ascii="宋体" w:eastAsia="宋体" w:hint="eastAsia"/>
          <w:color w:val="333333"/>
        </w:rPr>
        <w:t>估，评估结果向社会公开。</w:t>
      </w:r>
    </w:p>
    <w:p>
      <w:pPr>
        <w:pStyle w:val="BodyText"/>
        <w:spacing w:before="100"/>
        <w:ind w:left="656"/>
        <w:rPr>
          <w:rFonts w:ascii="宋体" w:eastAsia="宋体" w:hint="eastAsia"/>
        </w:rPr>
      </w:pPr>
      <w:r>
        <w:rPr>
          <w:rFonts w:ascii="宋体" w:eastAsia="宋体" w:hint="eastAsia"/>
          <w:color w:val="333333"/>
        </w:rPr>
        <w:t>(六)参加火灾公众责任保险。</w:t>
      </w:r>
    </w:p>
    <w:p>
      <w:pPr>
        <w:pStyle w:val="BodyText"/>
        <w:tabs>
          <w:tab w:pos="1808" w:val="left" w:leader="none"/>
        </w:tabs>
        <w:spacing w:line="259" w:lineRule="auto" w:before="17"/>
        <w:ind w:right="239" w:firstLine="453"/>
        <w:rPr>
          <w:rFonts w:ascii="宋体" w:eastAsia="宋体" w:hint="eastAsia"/>
        </w:rPr>
      </w:pPr>
      <w:r>
        <w:rPr>
          <w:rFonts w:ascii="Microsoft JhengHei" w:eastAsia="Microsoft JhengHei" w:hint="eastAsia"/>
          <w:b/>
          <w:color w:val="333333"/>
          <w:spacing w:val="-10"/>
        </w:rPr>
        <w:t>第</w:t>
      </w:r>
      <w:r>
        <w:rPr>
          <w:rFonts w:ascii="Microsoft JhengHei" w:eastAsia="Microsoft JhengHei" w:hint="eastAsia"/>
          <w:b/>
          <w:color w:val="333333"/>
          <w:spacing w:val="-12"/>
        </w:rPr>
        <w:t>十</w:t>
      </w:r>
      <w:r>
        <w:rPr>
          <w:rFonts w:ascii="Microsoft JhengHei" w:eastAsia="Microsoft JhengHei" w:hint="eastAsia"/>
          <w:b/>
          <w:color w:val="333333"/>
          <w:spacing w:val="-10"/>
        </w:rPr>
        <w:t>八</w:t>
      </w:r>
      <w:r>
        <w:rPr>
          <w:rFonts w:ascii="Microsoft JhengHei" w:eastAsia="Microsoft JhengHei" w:hint="eastAsia"/>
          <w:b/>
          <w:color w:val="333333"/>
        </w:rPr>
        <w:t>条</w:t>
        <w:tab/>
      </w:r>
      <w:r>
        <w:rPr>
          <w:rFonts w:ascii="宋体" w:eastAsia="宋体" w:hint="eastAsia"/>
          <w:color w:val="333333"/>
          <w:spacing w:val="-12"/>
        </w:rPr>
        <w:t>同一建筑物由两个以上单位管理或使用</w:t>
      </w:r>
      <w:r>
        <w:rPr>
          <w:rFonts w:ascii="宋体" w:eastAsia="宋体" w:hint="eastAsia"/>
          <w:color w:val="333333"/>
          <w:spacing w:val="-36"/>
        </w:rPr>
        <w:t>的</w:t>
      </w:r>
      <w:r>
        <w:rPr>
          <w:rFonts w:ascii="宋体" w:eastAsia="宋体" w:hint="eastAsia"/>
          <w:color w:val="333333"/>
          <w:spacing w:val="-34"/>
        </w:rPr>
        <w:t>，</w:t>
      </w:r>
      <w:r>
        <w:rPr>
          <w:rFonts w:ascii="宋体" w:eastAsia="宋体" w:hint="eastAsia"/>
          <w:color w:val="333333"/>
          <w:spacing w:val="-12"/>
        </w:rPr>
        <w:t>应</w:t>
      </w:r>
      <w:r>
        <w:rPr>
          <w:rFonts w:ascii="宋体" w:eastAsia="宋体" w:hint="eastAsia"/>
          <w:color w:val="333333"/>
          <w:spacing w:val="-29"/>
        </w:rPr>
        <w:t>当</w:t>
      </w:r>
      <w:r>
        <w:rPr>
          <w:rFonts w:ascii="宋体" w:eastAsia="宋体" w:hint="eastAsia"/>
          <w:color w:val="333333"/>
          <w:spacing w:val="-12"/>
        </w:rPr>
        <w:t>明确各方的消防安全责</w:t>
      </w:r>
      <w:r>
        <w:rPr>
          <w:rFonts w:ascii="宋体" w:eastAsia="宋体" w:hint="eastAsia"/>
          <w:color w:val="333333"/>
          <w:spacing w:val="-22"/>
        </w:rPr>
        <w:t>任，</w:t>
      </w:r>
      <w:r>
        <w:rPr>
          <w:rFonts w:ascii="宋体" w:eastAsia="宋体" w:hint="eastAsia"/>
          <w:color w:val="333333"/>
          <w:spacing w:val="-12"/>
        </w:rPr>
        <w:t>并确定责任人对</w:t>
      </w:r>
      <w:r>
        <w:rPr>
          <w:rFonts w:ascii="宋体" w:eastAsia="宋体" w:hint="eastAsia"/>
          <w:color w:val="333333"/>
          <w:spacing w:val="-10"/>
        </w:rPr>
        <w:t>共</w:t>
      </w:r>
      <w:r>
        <w:rPr>
          <w:rFonts w:ascii="宋体" w:eastAsia="宋体" w:hint="eastAsia"/>
          <w:color w:val="333333"/>
          <w:spacing w:val="-12"/>
        </w:rPr>
        <w:t>用的疏散</w:t>
      </w:r>
      <w:r>
        <w:rPr>
          <w:rFonts w:ascii="宋体" w:eastAsia="宋体" w:hint="eastAsia"/>
          <w:color w:val="333333"/>
          <w:spacing w:val="-11"/>
        </w:rPr>
        <w:t>通</w:t>
      </w:r>
      <w:r>
        <w:rPr>
          <w:rFonts w:ascii="宋体" w:eastAsia="宋体" w:hint="eastAsia"/>
          <w:color w:val="333333"/>
          <w:spacing w:val="-22"/>
        </w:rPr>
        <w:t>道、安</w:t>
      </w:r>
    </w:p>
    <w:p>
      <w:pPr>
        <w:pStyle w:val="BodyText"/>
        <w:spacing w:before="69"/>
        <w:rPr>
          <w:rFonts w:ascii="宋体" w:eastAsia="宋体" w:hint="eastAsia"/>
        </w:rPr>
      </w:pPr>
      <w:r>
        <w:rPr>
          <w:rFonts w:ascii="宋体" w:eastAsia="宋体" w:hint="eastAsia"/>
          <w:color w:val="333333"/>
        </w:rPr>
        <w:t>全出口、建筑消防设施和消防车通道进行统一管理。</w:t>
      </w:r>
    </w:p>
    <w:p>
      <w:pPr>
        <w:spacing w:after="0"/>
        <w:rPr>
          <w:rFonts w:ascii="宋体" w:eastAsia="宋体" w:hint="eastAsia"/>
        </w:rPr>
        <w:sectPr>
          <w:pgSz w:w="8400" w:h="11910"/>
          <w:pgMar w:header="0" w:footer="870" w:top="1100" w:bottom="1060" w:left="820" w:right="780"/>
        </w:sectPr>
      </w:pPr>
    </w:p>
    <w:p>
      <w:pPr>
        <w:pStyle w:val="BodyText"/>
        <w:spacing w:line="312" w:lineRule="auto" w:before="127"/>
        <w:ind w:right="227" w:firstLine="456"/>
        <w:jc w:val="both"/>
        <w:rPr>
          <w:rFonts w:ascii="宋体" w:eastAsia="宋体" w:hint="eastAsia"/>
        </w:rPr>
      </w:pPr>
      <w:r>
        <w:rPr>
          <w:rFonts w:ascii="宋体" w:eastAsia="宋体" w:hint="eastAsia"/>
          <w:color w:val="333333"/>
          <w:spacing w:val="-15"/>
        </w:rPr>
        <w:t>物业服务企业应当按照合同约定提供消防安全防范服务，对</w:t>
      </w:r>
      <w:r>
        <w:rPr>
          <w:rFonts w:ascii="宋体" w:eastAsia="宋体" w:hint="eastAsia"/>
          <w:color w:val="333333"/>
          <w:spacing w:val="-16"/>
        </w:rPr>
        <w:t>管理区域内的共用消防设施和疏散通道、安全出口、消防车通道</w:t>
      </w:r>
      <w:r>
        <w:rPr>
          <w:rFonts w:ascii="宋体" w:eastAsia="宋体" w:hint="eastAsia"/>
          <w:color w:val="333333"/>
          <w:spacing w:val="-17"/>
        </w:rPr>
        <w:t>进行维护管理，及时劝阻和制止占用、堵塞、封闭疏散通道、安</w:t>
      </w:r>
      <w:r>
        <w:rPr>
          <w:rFonts w:ascii="宋体" w:eastAsia="宋体" w:hint="eastAsia"/>
          <w:color w:val="333333"/>
          <w:spacing w:val="-18"/>
        </w:rPr>
        <w:t>全出口、消防车通道等行为，劝阻和制止无效的，立即向公安机关等主管部门报告。定期开展防火检查巡查和消防宣传教育。</w:t>
      </w:r>
    </w:p>
    <w:p>
      <w:pPr>
        <w:pStyle w:val="BodyText"/>
        <w:spacing w:line="365" w:lineRule="exact"/>
        <w:ind w:left="654"/>
        <w:jc w:val="both"/>
        <w:rPr>
          <w:rFonts w:ascii="宋体" w:eastAsia="宋体" w:hint="eastAsia"/>
        </w:rPr>
      </w:pPr>
      <w:r>
        <w:rPr>
          <w:rFonts w:ascii="Microsoft JhengHei" w:eastAsia="Microsoft JhengHei" w:hint="eastAsia"/>
          <w:b/>
          <w:color w:val="333333"/>
        </w:rPr>
        <w:t>第十九条 </w:t>
      </w:r>
      <w:r>
        <w:rPr>
          <w:rFonts w:ascii="宋体" w:eastAsia="宋体" w:hint="eastAsia"/>
          <w:color w:val="333333"/>
        </w:rPr>
        <w:t>石化、轻工等行业组织应当加强行业消防安全自</w:t>
      </w:r>
    </w:p>
    <w:p>
      <w:pPr>
        <w:pStyle w:val="BodyText"/>
        <w:spacing w:line="314" w:lineRule="auto" w:before="37"/>
        <w:ind w:right="227"/>
        <w:rPr>
          <w:rFonts w:ascii="宋体" w:eastAsia="宋体" w:hint="eastAsia"/>
        </w:rPr>
      </w:pPr>
      <w:r>
        <w:rPr>
          <w:rFonts w:ascii="宋体" w:eastAsia="宋体" w:hint="eastAsia"/>
          <w:color w:val="333333"/>
          <w:spacing w:val="-19"/>
        </w:rPr>
        <w:t>律管理，推动本行业消防工作，引导行业单位落实消防安全主体</w:t>
      </w:r>
      <w:r>
        <w:rPr>
          <w:rFonts w:ascii="宋体" w:eastAsia="宋体" w:hint="eastAsia"/>
          <w:color w:val="333333"/>
          <w:spacing w:val="-12"/>
        </w:rPr>
        <w:t>责任。</w:t>
      </w:r>
    </w:p>
    <w:p>
      <w:pPr>
        <w:pStyle w:val="BodyText"/>
        <w:tabs>
          <w:tab w:pos="1188" w:val="left" w:leader="none"/>
        </w:tabs>
        <w:spacing w:line="359" w:lineRule="exact"/>
        <w:ind w:left="0" w:right="232"/>
        <w:jc w:val="right"/>
        <w:rPr>
          <w:rFonts w:ascii="宋体" w:eastAsia="宋体" w:hint="eastAsia"/>
        </w:rPr>
      </w:pPr>
      <w:r>
        <w:rPr>
          <w:rFonts w:ascii="Microsoft JhengHei" w:eastAsia="Microsoft JhengHei" w:hint="eastAsia"/>
          <w:b/>
          <w:color w:val="333333"/>
          <w:spacing w:val="-3"/>
        </w:rPr>
        <w:t>第</w:t>
      </w:r>
      <w:r>
        <w:rPr>
          <w:rFonts w:ascii="Microsoft JhengHei" w:eastAsia="Microsoft JhengHei" w:hint="eastAsia"/>
          <w:b/>
          <w:color w:val="333333"/>
          <w:spacing w:val="-5"/>
        </w:rPr>
        <w:t>二十</w:t>
      </w:r>
      <w:r>
        <w:rPr>
          <w:rFonts w:ascii="Microsoft JhengHei" w:eastAsia="Microsoft JhengHei" w:hint="eastAsia"/>
          <w:b/>
          <w:color w:val="333333"/>
        </w:rPr>
        <w:t>条</w:t>
        <w:tab/>
      </w:r>
      <w:r>
        <w:rPr>
          <w:rFonts w:ascii="宋体" w:eastAsia="宋体" w:hint="eastAsia"/>
          <w:color w:val="333333"/>
          <w:spacing w:val="-5"/>
        </w:rPr>
        <w:t>消防设施检测、维护保养</w:t>
      </w:r>
      <w:r>
        <w:rPr>
          <w:rFonts w:ascii="宋体" w:eastAsia="宋体" w:hint="eastAsia"/>
          <w:color w:val="333333"/>
          <w:spacing w:val="-8"/>
        </w:rPr>
        <w:t>和</w:t>
      </w:r>
      <w:r>
        <w:rPr>
          <w:rFonts w:ascii="宋体" w:eastAsia="宋体" w:hint="eastAsia"/>
          <w:color w:val="333333"/>
          <w:spacing w:val="-5"/>
        </w:rPr>
        <w:t>消防安全评估、咨</w:t>
      </w:r>
    </w:p>
    <w:p>
      <w:pPr>
        <w:pStyle w:val="BodyText"/>
        <w:spacing w:before="36"/>
        <w:ind w:left="0" w:right="172"/>
        <w:jc w:val="right"/>
        <w:rPr>
          <w:rFonts w:ascii="宋体" w:eastAsia="宋体" w:hint="eastAsia"/>
        </w:rPr>
      </w:pPr>
      <w:r>
        <w:rPr>
          <w:rFonts w:ascii="宋体" w:eastAsia="宋体" w:hint="eastAsia"/>
          <w:color w:val="333333"/>
          <w:spacing w:val="-18"/>
        </w:rPr>
        <w:t>询、监测等消防技术服务机构和执业人员应当依法获得相应的资</w:t>
      </w:r>
    </w:p>
    <w:p>
      <w:pPr>
        <w:pStyle w:val="BodyText"/>
        <w:tabs>
          <w:tab w:pos="2036" w:val="left" w:leader="none"/>
        </w:tabs>
        <w:spacing w:line="252" w:lineRule="auto" w:before="93"/>
        <w:ind w:left="654" w:right="172" w:hanging="454"/>
        <w:jc w:val="right"/>
        <w:rPr>
          <w:rFonts w:ascii="宋体" w:eastAsia="宋体" w:hint="eastAsia"/>
        </w:rPr>
      </w:pPr>
      <w:r>
        <w:rPr>
          <w:rFonts w:ascii="宋体" w:eastAsia="宋体" w:hint="eastAsia"/>
          <w:color w:val="333333"/>
          <w:spacing w:val="-46"/>
        </w:rPr>
        <w:t>质、</w:t>
      </w:r>
      <w:r>
        <w:rPr>
          <w:rFonts w:ascii="宋体" w:eastAsia="宋体" w:hint="eastAsia"/>
          <w:color w:val="333333"/>
          <w:spacing w:val="-12"/>
        </w:rPr>
        <w:t>资</w:t>
      </w:r>
      <w:r>
        <w:rPr>
          <w:rFonts w:ascii="宋体" w:eastAsia="宋体" w:hint="eastAsia"/>
          <w:color w:val="333333"/>
          <w:spacing w:val="-46"/>
        </w:rPr>
        <w:t>格，</w:t>
      </w:r>
      <w:r>
        <w:rPr>
          <w:rFonts w:ascii="宋体" w:eastAsia="宋体" w:hint="eastAsia"/>
          <w:color w:val="333333"/>
          <w:spacing w:val="-12"/>
        </w:rPr>
        <w:t>依法依规提</w:t>
      </w:r>
      <w:r>
        <w:rPr>
          <w:rFonts w:ascii="宋体" w:eastAsia="宋体" w:hint="eastAsia"/>
          <w:color w:val="333333"/>
          <w:spacing w:val="-10"/>
        </w:rPr>
        <w:t>供</w:t>
      </w:r>
      <w:r>
        <w:rPr>
          <w:rFonts w:ascii="宋体" w:eastAsia="宋体" w:hint="eastAsia"/>
          <w:color w:val="333333"/>
          <w:spacing w:val="-12"/>
        </w:rPr>
        <w:t>消防安全技术服</w:t>
      </w:r>
      <w:r>
        <w:rPr>
          <w:rFonts w:ascii="宋体" w:eastAsia="宋体" w:hint="eastAsia"/>
          <w:color w:val="333333"/>
          <w:spacing w:val="-46"/>
        </w:rPr>
        <w:t>务，</w:t>
      </w:r>
      <w:r>
        <w:rPr>
          <w:rFonts w:ascii="宋体" w:eastAsia="宋体" w:hint="eastAsia"/>
          <w:color w:val="333333"/>
          <w:spacing w:val="-12"/>
        </w:rPr>
        <w:t>并</w:t>
      </w:r>
      <w:r>
        <w:rPr>
          <w:rFonts w:ascii="宋体" w:eastAsia="宋体" w:hint="eastAsia"/>
          <w:color w:val="333333"/>
          <w:spacing w:val="-10"/>
        </w:rPr>
        <w:t>对</w:t>
      </w:r>
      <w:r>
        <w:rPr>
          <w:rFonts w:ascii="宋体" w:eastAsia="宋体" w:hint="eastAsia"/>
          <w:color w:val="333333"/>
          <w:spacing w:val="-12"/>
        </w:rPr>
        <w:t>服务质量负</w:t>
      </w:r>
      <w:r>
        <w:rPr>
          <w:rFonts w:ascii="宋体" w:eastAsia="宋体" w:hint="eastAsia"/>
          <w:color w:val="333333"/>
          <w:spacing w:val="-22"/>
        </w:rPr>
        <w:t>责</w:t>
      </w:r>
      <w:r>
        <w:rPr>
          <w:rFonts w:ascii="宋体" w:eastAsia="宋体" w:hint="eastAsia"/>
          <w:color w:val="333333"/>
          <w:spacing w:val="-14"/>
        </w:rPr>
        <w:t>。</w:t>
      </w:r>
      <w:r>
        <w:rPr>
          <w:rFonts w:ascii="Microsoft JhengHei" w:eastAsia="Microsoft JhengHei" w:hint="eastAsia"/>
          <w:b/>
          <w:color w:val="333333"/>
          <w:spacing w:val="-10"/>
        </w:rPr>
        <w:t>第</w:t>
      </w:r>
      <w:r>
        <w:rPr>
          <w:rFonts w:ascii="Microsoft JhengHei" w:eastAsia="Microsoft JhengHei" w:hint="eastAsia"/>
          <w:b/>
          <w:color w:val="333333"/>
          <w:spacing w:val="-12"/>
        </w:rPr>
        <w:t>二</w:t>
      </w:r>
      <w:r>
        <w:rPr>
          <w:rFonts w:ascii="Microsoft JhengHei" w:eastAsia="Microsoft JhengHei" w:hint="eastAsia"/>
          <w:b/>
          <w:color w:val="333333"/>
          <w:spacing w:val="-10"/>
        </w:rPr>
        <w:t>十</w:t>
      </w:r>
      <w:r>
        <w:rPr>
          <w:rFonts w:ascii="Microsoft JhengHei" w:eastAsia="Microsoft JhengHei" w:hint="eastAsia"/>
          <w:b/>
          <w:color w:val="333333"/>
          <w:spacing w:val="-12"/>
        </w:rPr>
        <w:t>一</w:t>
      </w:r>
      <w:r>
        <w:rPr>
          <w:rFonts w:ascii="Microsoft JhengHei" w:eastAsia="Microsoft JhengHei" w:hint="eastAsia"/>
          <w:b/>
          <w:color w:val="333333"/>
        </w:rPr>
        <w:t>条</w:t>
        <w:tab/>
      </w:r>
      <w:r>
        <w:rPr>
          <w:rFonts w:ascii="宋体" w:eastAsia="宋体" w:hint="eastAsia"/>
          <w:color w:val="333333"/>
          <w:spacing w:val="-12"/>
        </w:rPr>
        <w:t>建设工程的建</w:t>
      </w:r>
      <w:r>
        <w:rPr>
          <w:rFonts w:ascii="宋体" w:eastAsia="宋体" w:hint="eastAsia"/>
          <w:color w:val="333333"/>
          <w:spacing w:val="-24"/>
        </w:rPr>
        <w:t>设、</w:t>
      </w:r>
      <w:r>
        <w:rPr>
          <w:rFonts w:ascii="宋体" w:eastAsia="宋体" w:hint="eastAsia"/>
          <w:color w:val="333333"/>
          <w:spacing w:val="-12"/>
        </w:rPr>
        <w:t>设</w:t>
      </w:r>
      <w:r>
        <w:rPr>
          <w:rFonts w:ascii="宋体" w:eastAsia="宋体" w:hint="eastAsia"/>
          <w:color w:val="333333"/>
          <w:spacing w:val="-24"/>
        </w:rPr>
        <w:t>计、</w:t>
      </w:r>
      <w:r>
        <w:rPr>
          <w:rFonts w:ascii="宋体" w:eastAsia="宋体" w:hint="eastAsia"/>
          <w:color w:val="333333"/>
          <w:spacing w:val="-10"/>
        </w:rPr>
        <w:t>施</w:t>
      </w:r>
      <w:r>
        <w:rPr>
          <w:rFonts w:ascii="宋体" w:eastAsia="宋体" w:hint="eastAsia"/>
          <w:color w:val="333333"/>
          <w:spacing w:val="-12"/>
        </w:rPr>
        <w:t>工和监理等单位</w:t>
      </w:r>
      <w:r>
        <w:rPr>
          <w:rFonts w:ascii="宋体" w:eastAsia="宋体" w:hint="eastAsia"/>
          <w:color w:val="333333"/>
        </w:rPr>
        <w:t>应</w:t>
      </w:r>
    </w:p>
    <w:p>
      <w:pPr>
        <w:pStyle w:val="BodyText"/>
        <w:spacing w:line="312" w:lineRule="auto" w:before="13"/>
        <w:ind w:right="230"/>
        <w:rPr>
          <w:rFonts w:ascii="宋体" w:eastAsia="宋体" w:hint="eastAsia"/>
        </w:rPr>
      </w:pPr>
      <w:r>
        <w:rPr>
          <w:rFonts w:ascii="宋体" w:eastAsia="宋体" w:hint="eastAsia"/>
          <w:color w:val="333333"/>
          <w:spacing w:val="-18"/>
        </w:rPr>
        <w:t>当遵守消防法律、法规、规章和工程建设消防技术标准，在工程</w:t>
      </w:r>
      <w:r>
        <w:rPr>
          <w:rFonts w:ascii="宋体" w:eastAsia="宋体" w:hint="eastAsia"/>
          <w:color w:val="333333"/>
          <w:spacing w:val="-12"/>
        </w:rPr>
        <w:t>设计使用年限内对工程的消防设计、施工质量承担终身责任。</w:t>
      </w:r>
    </w:p>
    <w:p>
      <w:pPr>
        <w:pStyle w:val="Heading2"/>
        <w:spacing w:before="116"/>
        <w:ind w:right="38"/>
      </w:pPr>
      <w:r>
        <w:rPr/>
        <w:t>第五章 责任落实</w:t>
      </w:r>
    </w:p>
    <w:p>
      <w:pPr>
        <w:tabs>
          <w:tab w:pos="2092" w:val="left" w:leader="none"/>
        </w:tabs>
        <w:spacing w:before="128"/>
        <w:ind w:left="200" w:right="0" w:firstLine="468"/>
        <w:jc w:val="left"/>
        <w:rPr>
          <w:rFonts w:ascii="宋体" w:eastAsia="宋体" w:hint="eastAsia"/>
          <w:sz w:val="24"/>
        </w:rPr>
      </w:pPr>
      <w:r>
        <w:rPr>
          <w:rFonts w:ascii="Microsoft JhengHei" w:eastAsia="Microsoft JhengHei" w:hint="eastAsia"/>
          <w:b/>
          <w:color w:val="333333"/>
          <w:spacing w:val="-3"/>
          <w:sz w:val="24"/>
        </w:rPr>
        <w:t>第</w:t>
      </w:r>
      <w:r>
        <w:rPr>
          <w:rFonts w:ascii="Microsoft JhengHei" w:eastAsia="Microsoft JhengHei" w:hint="eastAsia"/>
          <w:b/>
          <w:color w:val="333333"/>
          <w:spacing w:val="-5"/>
          <w:sz w:val="24"/>
        </w:rPr>
        <w:t>二十</w:t>
      </w:r>
      <w:r>
        <w:rPr>
          <w:rFonts w:ascii="Microsoft JhengHei" w:eastAsia="Microsoft JhengHei" w:hint="eastAsia"/>
          <w:b/>
          <w:color w:val="333333"/>
          <w:spacing w:val="-3"/>
          <w:sz w:val="24"/>
        </w:rPr>
        <w:t>二</w:t>
      </w:r>
      <w:r>
        <w:rPr>
          <w:rFonts w:ascii="Microsoft JhengHei" w:eastAsia="Microsoft JhengHei" w:hint="eastAsia"/>
          <w:b/>
          <w:color w:val="333333"/>
          <w:sz w:val="24"/>
        </w:rPr>
        <w:t>条</w:t>
        <w:tab/>
      </w:r>
      <w:r>
        <w:rPr>
          <w:rFonts w:ascii="宋体" w:eastAsia="宋体" w:hint="eastAsia"/>
          <w:color w:val="333333"/>
          <w:spacing w:val="-5"/>
          <w:sz w:val="24"/>
        </w:rPr>
        <w:t>国务院每年组织对省级</w:t>
      </w:r>
      <w:r>
        <w:rPr>
          <w:rFonts w:ascii="宋体" w:eastAsia="宋体" w:hint="eastAsia"/>
          <w:color w:val="333333"/>
          <w:spacing w:val="-8"/>
          <w:sz w:val="24"/>
        </w:rPr>
        <w:t>人</w:t>
      </w:r>
      <w:r>
        <w:rPr>
          <w:rFonts w:ascii="宋体" w:eastAsia="宋体" w:hint="eastAsia"/>
          <w:color w:val="333333"/>
          <w:spacing w:val="-5"/>
          <w:sz w:val="24"/>
        </w:rPr>
        <w:t>民政府消防工作完</w:t>
      </w:r>
    </w:p>
    <w:p>
      <w:pPr>
        <w:pStyle w:val="BodyText"/>
        <w:spacing w:line="312" w:lineRule="auto" w:before="39"/>
        <w:ind w:right="230"/>
        <w:rPr>
          <w:rFonts w:ascii="宋体" w:eastAsia="宋体" w:hint="eastAsia"/>
        </w:rPr>
      </w:pPr>
      <w:r>
        <w:rPr>
          <w:rFonts w:ascii="宋体" w:eastAsia="宋体" w:hint="eastAsia"/>
          <w:color w:val="333333"/>
          <w:spacing w:val="-17"/>
        </w:rPr>
        <w:t>成情况进行考核，考核结果交由中央干部主管部门，作为对各省</w:t>
      </w:r>
      <w:r>
        <w:rPr>
          <w:rFonts w:ascii="宋体" w:eastAsia="宋体" w:hint="eastAsia"/>
          <w:color w:val="333333"/>
          <w:spacing w:val="-12"/>
        </w:rPr>
        <w:t>级人民政府主要负责人和领导班子综合考核评价的重要依据。</w:t>
      </w:r>
    </w:p>
    <w:p>
      <w:pPr>
        <w:spacing w:line="362" w:lineRule="exact" w:before="0"/>
        <w:ind w:left="668" w:right="0" w:firstLine="0"/>
        <w:jc w:val="both"/>
        <w:rPr>
          <w:rFonts w:ascii="宋体" w:eastAsia="宋体" w:hint="eastAsia"/>
          <w:sz w:val="24"/>
        </w:rPr>
      </w:pPr>
      <w:r>
        <w:rPr>
          <w:rFonts w:ascii="Microsoft JhengHei" w:eastAsia="Microsoft JhengHei" w:hint="eastAsia"/>
          <w:b/>
          <w:color w:val="333333"/>
          <w:sz w:val="24"/>
        </w:rPr>
        <w:t>第二十三条 </w:t>
      </w:r>
      <w:r>
        <w:rPr>
          <w:rFonts w:ascii="宋体" w:eastAsia="宋体" w:hint="eastAsia"/>
          <w:color w:val="333333"/>
          <w:sz w:val="24"/>
        </w:rPr>
        <w:t>地方各级人民政府应当建立健全消防工作考</w:t>
      </w:r>
    </w:p>
    <w:p>
      <w:pPr>
        <w:pStyle w:val="BodyText"/>
        <w:spacing w:line="312" w:lineRule="auto" w:before="39"/>
        <w:ind w:right="206"/>
        <w:jc w:val="both"/>
        <w:rPr>
          <w:rFonts w:ascii="宋体" w:eastAsia="宋体" w:hint="eastAsia"/>
        </w:rPr>
      </w:pPr>
      <w:r>
        <w:rPr>
          <w:rFonts w:ascii="宋体" w:eastAsia="宋体" w:hint="eastAsia"/>
          <w:color w:val="333333"/>
          <w:spacing w:val="-18"/>
        </w:rPr>
        <w:t>核评价体系，明确消防工作目标责任，纳入日常检查、政务督查</w:t>
      </w:r>
      <w:r>
        <w:rPr>
          <w:rFonts w:ascii="宋体" w:eastAsia="宋体" w:hint="eastAsia"/>
          <w:color w:val="333333"/>
          <w:spacing w:val="-13"/>
        </w:rPr>
        <w:t>的重要内容，组织年度消防工作考核，确保消防安全责任落实。</w:t>
      </w:r>
      <w:r>
        <w:rPr>
          <w:rFonts w:ascii="宋体" w:eastAsia="宋体" w:hint="eastAsia"/>
          <w:color w:val="333333"/>
          <w:spacing w:val="-16"/>
        </w:rPr>
        <w:t>加强消防工作考核结果运用，建立与主要负责人、分管负责人和直接责任人履职评定、奖励惩处相挂钩的制度。</w:t>
      </w:r>
    </w:p>
    <w:p>
      <w:pPr>
        <w:spacing w:after="0" w:line="312" w:lineRule="auto"/>
        <w:jc w:val="both"/>
        <w:rPr>
          <w:rFonts w:ascii="宋体" w:eastAsia="宋体" w:hint="eastAsia"/>
        </w:rPr>
        <w:sectPr>
          <w:pgSz w:w="8400" w:h="11910"/>
          <w:pgMar w:header="0" w:footer="870" w:top="1100" w:bottom="1060" w:left="820" w:right="780"/>
        </w:sectPr>
      </w:pPr>
    </w:p>
    <w:p>
      <w:pPr>
        <w:pStyle w:val="BodyText"/>
        <w:tabs>
          <w:tab w:pos="2036" w:val="left" w:leader="none"/>
        </w:tabs>
        <w:spacing w:line="261" w:lineRule="auto" w:before="48"/>
        <w:ind w:right="170" w:firstLine="453"/>
        <w:jc w:val="right"/>
        <w:rPr>
          <w:rFonts w:ascii="宋体" w:eastAsia="宋体" w:hint="eastAsia"/>
        </w:rPr>
      </w:pPr>
      <w:r>
        <w:rPr>
          <w:rFonts w:ascii="Microsoft JhengHei" w:eastAsia="Microsoft JhengHei" w:hint="eastAsia"/>
          <w:b/>
          <w:color w:val="333333"/>
          <w:spacing w:val="-10"/>
        </w:rPr>
        <w:t>第</w:t>
      </w:r>
      <w:r>
        <w:rPr>
          <w:rFonts w:ascii="Microsoft JhengHei" w:eastAsia="Microsoft JhengHei" w:hint="eastAsia"/>
          <w:b/>
          <w:color w:val="333333"/>
          <w:spacing w:val="-12"/>
        </w:rPr>
        <w:t>二</w:t>
      </w:r>
      <w:r>
        <w:rPr>
          <w:rFonts w:ascii="Microsoft JhengHei" w:eastAsia="Microsoft JhengHei" w:hint="eastAsia"/>
          <w:b/>
          <w:color w:val="333333"/>
          <w:spacing w:val="-10"/>
        </w:rPr>
        <w:t>十</w:t>
      </w:r>
      <w:r>
        <w:rPr>
          <w:rFonts w:ascii="Microsoft JhengHei" w:eastAsia="Microsoft JhengHei" w:hint="eastAsia"/>
          <w:b/>
          <w:color w:val="333333"/>
          <w:spacing w:val="-12"/>
        </w:rPr>
        <w:t>四</w:t>
      </w:r>
      <w:r>
        <w:rPr>
          <w:rFonts w:ascii="Microsoft JhengHei" w:eastAsia="Microsoft JhengHei" w:hint="eastAsia"/>
          <w:b/>
          <w:color w:val="333333"/>
        </w:rPr>
        <w:t>条</w:t>
        <w:tab/>
      </w:r>
      <w:r>
        <w:rPr>
          <w:rFonts w:ascii="宋体" w:eastAsia="宋体" w:hint="eastAsia"/>
          <w:color w:val="333333"/>
          <w:spacing w:val="-12"/>
        </w:rPr>
        <w:t>地方各级消防安全委员</w:t>
      </w:r>
      <w:r>
        <w:rPr>
          <w:rFonts w:ascii="宋体" w:eastAsia="宋体" w:hint="eastAsia"/>
          <w:color w:val="333333"/>
          <w:spacing w:val="-36"/>
        </w:rPr>
        <w:t>会</w:t>
      </w:r>
      <w:r>
        <w:rPr>
          <w:rFonts w:ascii="宋体" w:eastAsia="宋体" w:hint="eastAsia"/>
          <w:color w:val="333333"/>
          <w:spacing w:val="-34"/>
        </w:rPr>
        <w:t>、</w:t>
      </w:r>
      <w:r>
        <w:rPr>
          <w:rFonts w:ascii="宋体" w:eastAsia="宋体" w:hint="eastAsia"/>
          <w:color w:val="333333"/>
          <w:spacing w:val="-12"/>
        </w:rPr>
        <w:t>消防安全联席会议等消防工作协调机制应当定期召开成员单位会</w:t>
      </w:r>
      <w:r>
        <w:rPr>
          <w:rFonts w:ascii="宋体" w:eastAsia="宋体" w:hint="eastAsia"/>
          <w:color w:val="333333"/>
          <w:spacing w:val="-29"/>
        </w:rPr>
        <w:t>议，</w:t>
      </w:r>
      <w:r>
        <w:rPr>
          <w:rFonts w:ascii="宋体" w:eastAsia="宋体" w:hint="eastAsia"/>
          <w:color w:val="333333"/>
          <w:spacing w:val="-12"/>
        </w:rPr>
        <w:t>分析研判消防</w:t>
      </w:r>
    </w:p>
    <w:p>
      <w:pPr>
        <w:pStyle w:val="BodyText"/>
        <w:tabs>
          <w:tab w:pos="2166" w:val="left" w:leader="none"/>
        </w:tabs>
        <w:spacing w:line="249" w:lineRule="auto" w:before="65"/>
        <w:ind w:left="687" w:right="170" w:hanging="488"/>
        <w:jc w:val="right"/>
        <w:rPr>
          <w:rFonts w:ascii="宋体" w:eastAsia="宋体" w:hint="eastAsia"/>
        </w:rPr>
      </w:pPr>
      <w:r>
        <w:rPr>
          <w:rFonts w:ascii="宋体" w:eastAsia="宋体" w:hint="eastAsia"/>
          <w:color w:val="333333"/>
          <w:spacing w:val="-12"/>
        </w:rPr>
        <w:t>安全形</w:t>
      </w:r>
      <w:r>
        <w:rPr>
          <w:rFonts w:ascii="宋体" w:eastAsia="宋体" w:hint="eastAsia"/>
          <w:color w:val="333333"/>
          <w:spacing w:val="-56"/>
        </w:rPr>
        <w:t>势，</w:t>
      </w:r>
      <w:r>
        <w:rPr>
          <w:rFonts w:ascii="宋体" w:eastAsia="宋体" w:hint="eastAsia"/>
          <w:color w:val="333333"/>
          <w:spacing w:val="-12"/>
        </w:rPr>
        <w:t>协调指导消防工作开</w:t>
      </w:r>
      <w:r>
        <w:rPr>
          <w:rFonts w:ascii="宋体" w:eastAsia="宋体" w:hint="eastAsia"/>
          <w:color w:val="333333"/>
          <w:spacing w:val="-56"/>
        </w:rPr>
        <w:t>展，</w:t>
      </w:r>
      <w:r>
        <w:rPr>
          <w:rFonts w:ascii="宋体" w:eastAsia="宋体" w:hint="eastAsia"/>
          <w:color w:val="333333"/>
          <w:spacing w:val="-12"/>
        </w:rPr>
        <w:t>督促解决消防工作重大问</w:t>
      </w:r>
      <w:r>
        <w:rPr>
          <w:rFonts w:ascii="宋体" w:eastAsia="宋体" w:hint="eastAsia"/>
          <w:color w:val="333333"/>
          <w:spacing w:val="-44"/>
        </w:rPr>
        <w:t>题</w:t>
      </w:r>
      <w:r>
        <w:rPr>
          <w:rFonts w:ascii="宋体" w:eastAsia="宋体" w:hint="eastAsia"/>
          <w:color w:val="333333"/>
          <w:spacing w:val="-13"/>
        </w:rPr>
        <w:t>。</w:t>
      </w:r>
      <w:r>
        <w:rPr>
          <w:rFonts w:ascii="Microsoft JhengHei" w:eastAsia="Microsoft JhengHei" w:hint="eastAsia"/>
          <w:b/>
          <w:color w:val="333333"/>
          <w:spacing w:val="4"/>
        </w:rPr>
        <w:t>第二</w:t>
      </w:r>
      <w:r>
        <w:rPr>
          <w:rFonts w:ascii="Microsoft JhengHei" w:eastAsia="Microsoft JhengHei" w:hint="eastAsia"/>
          <w:b/>
          <w:color w:val="333333"/>
          <w:spacing w:val="6"/>
        </w:rPr>
        <w:t>十</w:t>
      </w:r>
      <w:r>
        <w:rPr>
          <w:rFonts w:ascii="Microsoft JhengHei" w:eastAsia="Microsoft JhengHei" w:hint="eastAsia"/>
          <w:b/>
          <w:color w:val="333333"/>
          <w:spacing w:val="4"/>
        </w:rPr>
        <w:t>五</w:t>
      </w:r>
      <w:r>
        <w:rPr>
          <w:rFonts w:ascii="Microsoft JhengHei" w:eastAsia="Microsoft JhengHei" w:hint="eastAsia"/>
          <w:b/>
          <w:color w:val="333333"/>
        </w:rPr>
        <w:t>条</w:t>
        <w:tab/>
      </w:r>
      <w:r>
        <w:rPr>
          <w:rFonts w:ascii="宋体" w:eastAsia="宋体" w:hint="eastAsia"/>
          <w:color w:val="333333"/>
          <w:spacing w:val="4"/>
        </w:rPr>
        <w:t>各有关部</w:t>
      </w:r>
      <w:r>
        <w:rPr>
          <w:rFonts w:ascii="宋体" w:eastAsia="宋体" w:hint="eastAsia"/>
          <w:color w:val="333333"/>
        </w:rPr>
        <w:t>门</w:t>
      </w:r>
      <w:r>
        <w:rPr>
          <w:rFonts w:ascii="宋体" w:eastAsia="宋体" w:hint="eastAsia"/>
          <w:color w:val="333333"/>
          <w:spacing w:val="4"/>
        </w:rPr>
        <w:t>应当建立单位消防安</w:t>
      </w:r>
      <w:r>
        <w:rPr>
          <w:rFonts w:ascii="宋体" w:eastAsia="宋体" w:hint="eastAsia"/>
          <w:color w:val="333333"/>
        </w:rPr>
        <w:t>全</w:t>
      </w:r>
      <w:r>
        <w:rPr>
          <w:rFonts w:ascii="宋体" w:eastAsia="宋体" w:hint="eastAsia"/>
          <w:color w:val="333333"/>
          <w:spacing w:val="4"/>
        </w:rPr>
        <w:t>信用</w:t>
      </w:r>
      <w:r>
        <w:rPr>
          <w:rFonts w:ascii="宋体" w:eastAsia="宋体" w:hint="eastAsia"/>
          <w:color w:val="333333"/>
        </w:rPr>
        <w:t>记</w:t>
      </w:r>
    </w:p>
    <w:p>
      <w:pPr>
        <w:pStyle w:val="BodyText"/>
        <w:spacing w:line="312" w:lineRule="auto" w:before="20"/>
        <w:ind w:right="227"/>
        <w:rPr>
          <w:rFonts w:ascii="宋体" w:eastAsia="宋体" w:hint="eastAsia"/>
        </w:rPr>
      </w:pPr>
      <w:r>
        <w:rPr>
          <w:rFonts w:ascii="宋体" w:eastAsia="宋体" w:hint="eastAsia"/>
          <w:color w:val="333333"/>
          <w:spacing w:val="-17"/>
        </w:rPr>
        <w:t>录，纳入全国信用信息共享平台，作为信用评价、项目核准、用</w:t>
      </w:r>
      <w:r>
        <w:rPr>
          <w:rFonts w:ascii="宋体" w:eastAsia="宋体" w:hint="eastAsia"/>
          <w:color w:val="333333"/>
          <w:spacing w:val="-12"/>
        </w:rPr>
        <w:t>地审批、金融扶持、财政奖补等方面的参考依据。</w:t>
      </w:r>
    </w:p>
    <w:p>
      <w:pPr>
        <w:tabs>
          <w:tab w:pos="2092" w:val="left" w:leader="none"/>
        </w:tabs>
        <w:spacing w:line="362" w:lineRule="exact" w:before="0"/>
        <w:ind w:left="668" w:right="0" w:firstLine="0"/>
        <w:jc w:val="left"/>
        <w:rPr>
          <w:rFonts w:ascii="宋体" w:eastAsia="宋体" w:hint="eastAsia"/>
          <w:sz w:val="24"/>
        </w:rPr>
      </w:pPr>
      <w:r>
        <w:rPr>
          <w:rFonts w:ascii="Microsoft JhengHei" w:eastAsia="Microsoft JhengHei" w:hint="eastAsia"/>
          <w:b/>
          <w:color w:val="333333"/>
          <w:spacing w:val="-3"/>
          <w:sz w:val="24"/>
        </w:rPr>
        <w:t>第</w:t>
      </w:r>
      <w:r>
        <w:rPr>
          <w:rFonts w:ascii="Microsoft JhengHei" w:eastAsia="Microsoft JhengHei" w:hint="eastAsia"/>
          <w:b/>
          <w:color w:val="333333"/>
          <w:spacing w:val="-5"/>
          <w:sz w:val="24"/>
        </w:rPr>
        <w:t>二十</w:t>
      </w:r>
      <w:r>
        <w:rPr>
          <w:rFonts w:ascii="Microsoft JhengHei" w:eastAsia="Microsoft JhengHei" w:hint="eastAsia"/>
          <w:b/>
          <w:color w:val="333333"/>
          <w:spacing w:val="-3"/>
          <w:sz w:val="24"/>
        </w:rPr>
        <w:t>六</w:t>
      </w:r>
      <w:r>
        <w:rPr>
          <w:rFonts w:ascii="Microsoft JhengHei" w:eastAsia="Microsoft JhengHei" w:hint="eastAsia"/>
          <w:b/>
          <w:color w:val="333333"/>
          <w:sz w:val="24"/>
        </w:rPr>
        <w:t>条</w:t>
        <w:tab/>
      </w:r>
      <w:r>
        <w:rPr>
          <w:rFonts w:ascii="宋体" w:eastAsia="宋体" w:hint="eastAsia"/>
          <w:color w:val="333333"/>
          <w:spacing w:val="-5"/>
          <w:sz w:val="24"/>
        </w:rPr>
        <w:t>公安机关及其工作人员</w:t>
      </w:r>
      <w:r>
        <w:rPr>
          <w:rFonts w:ascii="宋体" w:eastAsia="宋体" w:hint="eastAsia"/>
          <w:color w:val="333333"/>
          <w:spacing w:val="-8"/>
          <w:sz w:val="24"/>
        </w:rPr>
        <w:t>履</w:t>
      </w:r>
      <w:r>
        <w:rPr>
          <w:rFonts w:ascii="宋体" w:eastAsia="宋体" w:hint="eastAsia"/>
          <w:color w:val="333333"/>
          <w:spacing w:val="-5"/>
          <w:sz w:val="24"/>
        </w:rPr>
        <w:t>行法定消防工作职</w:t>
      </w:r>
    </w:p>
    <w:p>
      <w:pPr>
        <w:pStyle w:val="BodyText"/>
        <w:spacing w:before="39"/>
        <w:rPr>
          <w:rFonts w:ascii="宋体" w:eastAsia="宋体" w:hint="eastAsia"/>
        </w:rPr>
      </w:pPr>
      <w:r>
        <w:rPr>
          <w:rFonts w:ascii="宋体" w:eastAsia="宋体" w:hint="eastAsia"/>
          <w:color w:val="333333"/>
        </w:rPr>
        <w:t>责时，应当做到公正、严格、文明、高效。</w:t>
      </w:r>
    </w:p>
    <w:p>
      <w:pPr>
        <w:pStyle w:val="BodyText"/>
        <w:spacing w:line="312" w:lineRule="auto" w:before="94"/>
        <w:ind w:right="227" w:firstLine="456"/>
        <w:jc w:val="both"/>
        <w:rPr>
          <w:rFonts w:ascii="宋体" w:eastAsia="宋体" w:hint="eastAsia"/>
        </w:rPr>
      </w:pPr>
      <w:r>
        <w:rPr>
          <w:rFonts w:ascii="宋体" w:eastAsia="宋体" w:hint="eastAsia"/>
          <w:color w:val="333333"/>
          <w:spacing w:val="-14"/>
        </w:rPr>
        <w:t>公安机关及其工作人员进行消防设计审核、消防验收和消防</w:t>
      </w:r>
      <w:r>
        <w:rPr>
          <w:rFonts w:ascii="宋体" w:eastAsia="宋体" w:hint="eastAsia"/>
          <w:color w:val="333333"/>
          <w:spacing w:val="-18"/>
        </w:rPr>
        <w:t>安全检查等，不得收取费用，不得谋取利益，不得利用职务指定</w:t>
      </w:r>
      <w:r>
        <w:rPr>
          <w:rFonts w:ascii="宋体" w:eastAsia="宋体" w:hint="eastAsia"/>
          <w:color w:val="333333"/>
          <w:spacing w:val="-5"/>
        </w:rPr>
        <w:t>或者变相指定消防产品的品牌、销售单位或者消防技术服务机</w:t>
      </w:r>
      <w:r>
        <w:rPr>
          <w:rFonts w:ascii="宋体" w:eastAsia="宋体" w:hint="eastAsia"/>
          <w:color w:val="333333"/>
          <w:spacing w:val="-12"/>
        </w:rPr>
        <w:t>构、消防设施施工单位。</w:t>
      </w:r>
    </w:p>
    <w:p>
      <w:pPr>
        <w:pStyle w:val="BodyText"/>
        <w:spacing w:line="312" w:lineRule="auto"/>
        <w:ind w:right="235" w:firstLine="470"/>
        <w:rPr>
          <w:rFonts w:ascii="宋体" w:eastAsia="宋体" w:hint="eastAsia"/>
        </w:rPr>
      </w:pPr>
      <w:r>
        <w:rPr>
          <w:rFonts w:ascii="宋体" w:eastAsia="宋体" w:hint="eastAsia"/>
          <w:color w:val="333333"/>
          <w:spacing w:val="-6"/>
        </w:rPr>
        <w:t>国务院公安部门要加强对各地公安机关及其工作人员进行</w:t>
      </w:r>
      <w:r>
        <w:rPr>
          <w:rFonts w:ascii="宋体" w:eastAsia="宋体" w:hint="eastAsia"/>
          <w:color w:val="333333"/>
          <w:spacing w:val="-12"/>
        </w:rPr>
        <w:t>消防设计审核、消防验收和消防安全检查等行为的监督管理。</w:t>
      </w:r>
    </w:p>
    <w:p>
      <w:pPr>
        <w:tabs>
          <w:tab w:pos="2092" w:val="left" w:leader="none"/>
        </w:tabs>
        <w:spacing w:line="365" w:lineRule="exact" w:before="0"/>
        <w:ind w:left="668" w:right="0" w:firstLine="0"/>
        <w:jc w:val="left"/>
        <w:rPr>
          <w:rFonts w:ascii="宋体" w:eastAsia="宋体" w:hint="eastAsia"/>
          <w:sz w:val="24"/>
        </w:rPr>
      </w:pPr>
      <w:r>
        <w:rPr>
          <w:rFonts w:ascii="Microsoft JhengHei" w:eastAsia="Microsoft JhengHei" w:hint="eastAsia"/>
          <w:b/>
          <w:color w:val="333333"/>
          <w:spacing w:val="-3"/>
          <w:sz w:val="24"/>
        </w:rPr>
        <w:t>第</w:t>
      </w:r>
      <w:r>
        <w:rPr>
          <w:rFonts w:ascii="Microsoft JhengHei" w:eastAsia="Microsoft JhengHei" w:hint="eastAsia"/>
          <w:b/>
          <w:color w:val="333333"/>
          <w:spacing w:val="-5"/>
          <w:sz w:val="24"/>
        </w:rPr>
        <w:t>二十</w:t>
      </w:r>
      <w:r>
        <w:rPr>
          <w:rFonts w:ascii="Microsoft JhengHei" w:eastAsia="Microsoft JhengHei" w:hint="eastAsia"/>
          <w:b/>
          <w:color w:val="333333"/>
          <w:spacing w:val="-3"/>
          <w:sz w:val="24"/>
        </w:rPr>
        <w:t>七</w:t>
      </w:r>
      <w:r>
        <w:rPr>
          <w:rFonts w:ascii="Microsoft JhengHei" w:eastAsia="Microsoft JhengHei" w:hint="eastAsia"/>
          <w:b/>
          <w:color w:val="333333"/>
          <w:sz w:val="24"/>
        </w:rPr>
        <w:t>条</w:t>
        <w:tab/>
      </w:r>
      <w:r>
        <w:rPr>
          <w:rFonts w:ascii="宋体" w:eastAsia="宋体" w:hint="eastAsia"/>
          <w:color w:val="333333"/>
          <w:spacing w:val="-5"/>
          <w:sz w:val="24"/>
        </w:rPr>
        <w:t>地方各级人民政府和有</w:t>
      </w:r>
      <w:r>
        <w:rPr>
          <w:rFonts w:ascii="宋体" w:eastAsia="宋体" w:hint="eastAsia"/>
          <w:color w:val="333333"/>
          <w:spacing w:val="-8"/>
          <w:sz w:val="24"/>
        </w:rPr>
        <w:t>关</w:t>
      </w:r>
      <w:r>
        <w:rPr>
          <w:rFonts w:ascii="宋体" w:eastAsia="宋体" w:hint="eastAsia"/>
          <w:color w:val="333333"/>
          <w:spacing w:val="-5"/>
          <w:sz w:val="24"/>
        </w:rPr>
        <w:t>部门不依法履行职</w:t>
      </w:r>
    </w:p>
    <w:p>
      <w:pPr>
        <w:pStyle w:val="BodyText"/>
        <w:spacing w:line="312" w:lineRule="auto" w:before="35"/>
        <w:ind w:right="229"/>
        <w:jc w:val="both"/>
        <w:rPr>
          <w:rFonts w:ascii="宋体" w:eastAsia="宋体" w:hint="eastAsia"/>
        </w:rPr>
      </w:pPr>
      <w:r>
        <w:rPr>
          <w:rFonts w:ascii="宋体" w:eastAsia="宋体" w:hint="eastAsia"/>
          <w:color w:val="333333"/>
          <w:spacing w:val="-18"/>
        </w:rPr>
        <w:t>责，在涉及消防安全行政审批、公共消防设施建设、重大火灾隐患整改、消防力量发展等方面工作不力、失职渎职的，依法依规</w:t>
      </w:r>
      <w:r>
        <w:rPr>
          <w:rFonts w:ascii="宋体" w:eastAsia="宋体" w:hint="eastAsia"/>
          <w:color w:val="333333"/>
          <w:spacing w:val="-12"/>
        </w:rPr>
        <w:t>追究有关人员的责任，涉嫌犯罪的，移送司法机关处理。</w:t>
      </w:r>
    </w:p>
    <w:p>
      <w:pPr>
        <w:spacing w:line="363" w:lineRule="exact" w:before="0"/>
        <w:ind w:left="668" w:right="0" w:firstLine="0"/>
        <w:jc w:val="both"/>
        <w:rPr>
          <w:rFonts w:ascii="宋体" w:eastAsia="宋体" w:hint="eastAsia"/>
          <w:sz w:val="24"/>
        </w:rPr>
      </w:pPr>
      <w:r>
        <w:rPr>
          <w:rFonts w:ascii="Microsoft JhengHei" w:eastAsia="Microsoft JhengHei" w:hint="eastAsia"/>
          <w:b/>
          <w:color w:val="333333"/>
          <w:sz w:val="24"/>
        </w:rPr>
        <w:t>第二十八条 </w:t>
      </w:r>
      <w:r>
        <w:rPr>
          <w:rFonts w:ascii="宋体" w:eastAsia="宋体" w:hint="eastAsia"/>
          <w:color w:val="333333"/>
          <w:sz w:val="24"/>
        </w:rPr>
        <w:t>因消防安全责任不落实发生一般及以上火灾</w:t>
      </w:r>
    </w:p>
    <w:p>
      <w:pPr>
        <w:pStyle w:val="BodyText"/>
        <w:spacing w:line="312" w:lineRule="auto" w:before="39"/>
        <w:ind w:right="230"/>
        <w:jc w:val="both"/>
        <w:rPr>
          <w:rFonts w:ascii="宋体" w:eastAsia="宋体" w:hint="eastAsia"/>
        </w:rPr>
      </w:pPr>
      <w:r>
        <w:rPr>
          <w:rFonts w:ascii="宋体" w:eastAsia="宋体" w:hint="eastAsia"/>
          <w:color w:val="333333"/>
          <w:spacing w:val="-18"/>
        </w:rPr>
        <w:t>事故的，依法依规追究单位直接责任人、法定代表人、主要负责</w:t>
      </w:r>
      <w:r>
        <w:rPr>
          <w:rFonts w:ascii="宋体" w:eastAsia="宋体" w:hint="eastAsia"/>
          <w:color w:val="333333"/>
          <w:spacing w:val="-16"/>
        </w:rPr>
        <w:t>人或实际控制人的责任，对履行职责不力、失职渎职的政府及有</w:t>
      </w:r>
      <w:r>
        <w:rPr>
          <w:rFonts w:ascii="宋体" w:eastAsia="宋体" w:hint="eastAsia"/>
          <w:color w:val="333333"/>
          <w:spacing w:val="-20"/>
        </w:rPr>
        <w:t>关部门负责人和工作人员实行问责，涉嫌犯罪的，移送司法机关处理。</w:t>
      </w:r>
    </w:p>
    <w:p>
      <w:pPr>
        <w:spacing w:after="0" w:line="312" w:lineRule="auto"/>
        <w:jc w:val="both"/>
        <w:rPr>
          <w:rFonts w:ascii="宋体" w:eastAsia="宋体" w:hint="eastAsia"/>
        </w:rPr>
        <w:sectPr>
          <w:pgSz w:w="8400" w:h="11910"/>
          <w:pgMar w:header="0" w:footer="870" w:top="1100" w:bottom="1060" w:left="820" w:right="780"/>
        </w:sectPr>
      </w:pPr>
    </w:p>
    <w:p>
      <w:pPr>
        <w:pStyle w:val="BodyText"/>
        <w:spacing w:line="312" w:lineRule="auto" w:before="127"/>
        <w:ind w:right="227" w:firstLine="564"/>
        <w:jc w:val="both"/>
        <w:rPr>
          <w:rFonts w:ascii="宋体" w:eastAsia="宋体" w:hint="eastAsia"/>
        </w:rPr>
      </w:pPr>
      <w:r>
        <w:rPr>
          <w:rFonts w:ascii="宋体" w:eastAsia="宋体" w:hint="eastAsia"/>
          <w:color w:val="333333"/>
          <w:spacing w:val="-10"/>
        </w:rPr>
        <w:t>发生造成人员死亡或产生社会影响的一般火灾事故的，由</w:t>
      </w:r>
      <w:r>
        <w:rPr>
          <w:rFonts w:ascii="宋体" w:eastAsia="宋体" w:hint="eastAsia"/>
          <w:color w:val="333333"/>
          <w:spacing w:val="-14"/>
        </w:rPr>
        <w:t>事故发生地县级人民政府负责组织调查处理；发生较大火灾事故</w:t>
      </w:r>
      <w:r>
        <w:rPr>
          <w:rFonts w:ascii="宋体" w:eastAsia="宋体" w:hint="eastAsia"/>
          <w:color w:val="333333"/>
          <w:spacing w:val="-19"/>
        </w:rPr>
        <w:t>的，由事故发生地设区的市级人民政府负责组织调查处理；发生</w:t>
      </w:r>
      <w:r>
        <w:rPr>
          <w:rFonts w:ascii="宋体" w:eastAsia="宋体" w:hint="eastAsia"/>
          <w:color w:val="333333"/>
          <w:spacing w:val="-5"/>
        </w:rPr>
        <w:t>重大火灾事故的，由事故发生地省级人民政府负责组织调查处</w:t>
      </w:r>
      <w:r>
        <w:rPr>
          <w:rFonts w:ascii="宋体" w:eastAsia="宋体" w:hint="eastAsia"/>
          <w:color w:val="333333"/>
          <w:spacing w:val="-19"/>
        </w:rPr>
        <w:t>理；发生特别重大火灾事故的，由国务院或国务院授权有关部门</w:t>
      </w:r>
      <w:r>
        <w:rPr>
          <w:rFonts w:ascii="宋体" w:eastAsia="宋体" w:hint="eastAsia"/>
          <w:color w:val="333333"/>
          <w:spacing w:val="-12"/>
        </w:rPr>
        <w:t>负责组织调查处理。</w:t>
      </w:r>
    </w:p>
    <w:p>
      <w:pPr>
        <w:pStyle w:val="Heading2"/>
        <w:spacing w:before="116"/>
        <w:ind w:right="42"/>
      </w:pPr>
      <w:r>
        <w:rPr/>
        <w:t>第六章 附则</w:t>
      </w:r>
    </w:p>
    <w:p>
      <w:pPr>
        <w:pStyle w:val="BodyText"/>
        <w:tabs>
          <w:tab w:pos="2036" w:val="left" w:leader="none"/>
        </w:tabs>
        <w:spacing w:line="259" w:lineRule="auto" w:before="130"/>
        <w:ind w:right="227" w:firstLine="458"/>
        <w:rPr>
          <w:rFonts w:ascii="宋体" w:eastAsia="宋体" w:hint="eastAsia"/>
        </w:rPr>
      </w:pPr>
      <w:r>
        <w:rPr>
          <w:rFonts w:ascii="Microsoft JhengHei" w:eastAsia="Microsoft JhengHei" w:hint="eastAsia"/>
          <w:b/>
          <w:color w:val="333333"/>
          <w:spacing w:val="-12"/>
        </w:rPr>
        <w:t>第二</w:t>
      </w:r>
      <w:r>
        <w:rPr>
          <w:rFonts w:ascii="Microsoft JhengHei" w:eastAsia="Microsoft JhengHei" w:hint="eastAsia"/>
          <w:b/>
          <w:color w:val="333333"/>
          <w:spacing w:val="-10"/>
        </w:rPr>
        <w:t>十</w:t>
      </w:r>
      <w:r>
        <w:rPr>
          <w:rFonts w:ascii="Microsoft JhengHei" w:eastAsia="Microsoft JhengHei" w:hint="eastAsia"/>
          <w:b/>
          <w:color w:val="333333"/>
          <w:spacing w:val="-12"/>
        </w:rPr>
        <w:t>九</w:t>
      </w:r>
      <w:r>
        <w:rPr>
          <w:rFonts w:ascii="Microsoft JhengHei" w:eastAsia="Microsoft JhengHei" w:hint="eastAsia"/>
          <w:b/>
          <w:color w:val="333333"/>
        </w:rPr>
        <w:t>条</w:t>
        <w:tab/>
      </w:r>
      <w:r>
        <w:rPr>
          <w:rFonts w:ascii="宋体" w:eastAsia="宋体" w:hint="eastAsia"/>
          <w:color w:val="333333"/>
          <w:spacing w:val="-12"/>
        </w:rPr>
        <w:t>具有固</w:t>
      </w:r>
      <w:r>
        <w:rPr>
          <w:rFonts w:ascii="宋体" w:eastAsia="宋体" w:hint="eastAsia"/>
          <w:color w:val="333333"/>
          <w:spacing w:val="-10"/>
        </w:rPr>
        <w:t>定</w:t>
      </w:r>
      <w:r>
        <w:rPr>
          <w:rFonts w:ascii="宋体" w:eastAsia="宋体" w:hint="eastAsia"/>
          <w:color w:val="333333"/>
          <w:spacing w:val="-12"/>
        </w:rPr>
        <w:t>生产经营场所的个体工商</w:t>
      </w:r>
      <w:r>
        <w:rPr>
          <w:rFonts w:ascii="宋体" w:eastAsia="宋体" w:hint="eastAsia"/>
          <w:color w:val="333333"/>
          <w:spacing w:val="-36"/>
        </w:rPr>
        <w:t>户，</w:t>
      </w:r>
      <w:r>
        <w:rPr>
          <w:rFonts w:ascii="宋体" w:eastAsia="宋体" w:hint="eastAsia"/>
          <w:color w:val="333333"/>
          <w:spacing w:val="-12"/>
        </w:rPr>
        <w:t>参照</w:t>
      </w:r>
      <w:r>
        <w:rPr>
          <w:rFonts w:ascii="宋体" w:eastAsia="宋体" w:hint="eastAsia"/>
          <w:color w:val="333333"/>
          <w:spacing w:val="-17"/>
        </w:rPr>
        <w:t>本</w:t>
      </w:r>
      <w:r>
        <w:rPr>
          <w:rFonts w:ascii="宋体" w:eastAsia="宋体" w:hint="eastAsia"/>
          <w:color w:val="333333"/>
          <w:spacing w:val="-12"/>
        </w:rPr>
        <w:t>办法履行单位消防安全职责。</w:t>
      </w:r>
    </w:p>
    <w:p>
      <w:pPr>
        <w:pStyle w:val="BodyText"/>
        <w:spacing w:line="432" w:lineRule="exact"/>
        <w:ind w:firstLine="453"/>
        <w:rPr>
          <w:rFonts w:ascii="宋体" w:eastAsia="宋体" w:hint="eastAsia"/>
        </w:rPr>
      </w:pPr>
      <w:r>
        <w:rPr>
          <w:rFonts w:ascii="Microsoft JhengHei" w:eastAsia="Microsoft JhengHei" w:hint="eastAsia"/>
          <w:b/>
          <w:color w:val="333333"/>
          <w:spacing w:val="-11"/>
        </w:rPr>
        <w:t>第三十条</w:t>
      </w:r>
      <w:r>
        <w:rPr>
          <w:rFonts w:ascii="宋体" w:eastAsia="宋体" w:hint="eastAsia"/>
          <w:color w:val="333333"/>
          <w:spacing w:val="-12"/>
        </w:rPr>
        <w:t>微型消防站是单位、社区组建的有人员、有装备，</w:t>
      </w:r>
    </w:p>
    <w:p>
      <w:pPr>
        <w:pStyle w:val="BodyText"/>
        <w:spacing w:line="312" w:lineRule="auto" w:before="39"/>
        <w:ind w:right="239"/>
        <w:rPr>
          <w:rFonts w:ascii="宋体" w:eastAsia="宋体" w:hint="eastAsia"/>
        </w:rPr>
      </w:pPr>
      <w:r>
        <w:rPr>
          <w:rFonts w:ascii="宋体" w:eastAsia="宋体" w:hint="eastAsia"/>
          <w:color w:val="333333"/>
          <w:spacing w:val="-16"/>
        </w:rPr>
        <w:t>具备扑救初起火灾能力的志愿消防队。具体标准由公安消防部门</w:t>
      </w:r>
      <w:r>
        <w:rPr>
          <w:rFonts w:ascii="宋体" w:eastAsia="宋体" w:hint="eastAsia"/>
          <w:color w:val="333333"/>
          <w:spacing w:val="-12"/>
        </w:rPr>
        <w:t>确定。</w:t>
      </w:r>
    </w:p>
    <w:p>
      <w:pPr>
        <w:tabs>
          <w:tab w:pos="2159" w:val="left" w:leader="none"/>
        </w:tabs>
        <w:spacing w:line="362" w:lineRule="exact" w:before="0"/>
        <w:ind w:left="759" w:right="0" w:firstLine="0"/>
        <w:jc w:val="left"/>
        <w:rPr>
          <w:rFonts w:ascii="宋体" w:eastAsia="宋体" w:hint="eastAsia"/>
          <w:sz w:val="24"/>
        </w:rPr>
      </w:pPr>
      <w:r>
        <w:rPr>
          <w:rFonts w:ascii="Microsoft JhengHei" w:eastAsia="Microsoft JhengHei" w:hint="eastAsia"/>
          <w:b/>
          <w:color w:val="333333"/>
          <w:spacing w:val="-8"/>
          <w:sz w:val="24"/>
        </w:rPr>
        <w:t>第</w:t>
      </w:r>
      <w:r>
        <w:rPr>
          <w:rFonts w:ascii="Microsoft JhengHei" w:eastAsia="Microsoft JhengHei" w:hint="eastAsia"/>
          <w:b/>
          <w:color w:val="333333"/>
          <w:spacing w:val="-10"/>
          <w:sz w:val="24"/>
        </w:rPr>
        <w:t>三</w:t>
      </w:r>
      <w:r>
        <w:rPr>
          <w:rFonts w:ascii="Microsoft JhengHei" w:eastAsia="Microsoft JhengHei" w:hint="eastAsia"/>
          <w:b/>
          <w:color w:val="333333"/>
          <w:spacing w:val="-8"/>
          <w:sz w:val="24"/>
        </w:rPr>
        <w:t>十一</w:t>
      </w:r>
      <w:r>
        <w:rPr>
          <w:rFonts w:ascii="Microsoft JhengHei" w:eastAsia="Microsoft JhengHei" w:hint="eastAsia"/>
          <w:b/>
          <w:color w:val="333333"/>
          <w:sz w:val="24"/>
        </w:rPr>
        <w:t>条</w:t>
        <w:tab/>
      </w:r>
      <w:r>
        <w:rPr>
          <w:rFonts w:ascii="宋体" w:eastAsia="宋体" w:hint="eastAsia"/>
          <w:color w:val="333333"/>
          <w:spacing w:val="-10"/>
          <w:sz w:val="24"/>
        </w:rPr>
        <w:t>本办法</w:t>
      </w:r>
      <w:r>
        <w:rPr>
          <w:rFonts w:ascii="宋体" w:eastAsia="宋体" w:hint="eastAsia"/>
          <w:color w:val="333333"/>
          <w:spacing w:val="-8"/>
          <w:sz w:val="24"/>
        </w:rPr>
        <w:t>自</w:t>
      </w:r>
      <w:r>
        <w:rPr>
          <w:rFonts w:ascii="宋体" w:eastAsia="宋体" w:hint="eastAsia"/>
          <w:color w:val="333333"/>
          <w:spacing w:val="-10"/>
          <w:sz w:val="24"/>
        </w:rPr>
        <w:t>印发</w:t>
      </w:r>
      <w:r>
        <w:rPr>
          <w:rFonts w:ascii="宋体" w:eastAsia="宋体" w:hint="eastAsia"/>
          <w:color w:val="333333"/>
          <w:spacing w:val="-8"/>
          <w:sz w:val="24"/>
        </w:rPr>
        <w:t>之</w:t>
      </w:r>
      <w:r>
        <w:rPr>
          <w:rFonts w:ascii="宋体" w:eastAsia="宋体" w:hint="eastAsia"/>
          <w:color w:val="333333"/>
          <w:spacing w:val="-10"/>
          <w:sz w:val="24"/>
        </w:rPr>
        <w:t>日起</w:t>
      </w:r>
      <w:r>
        <w:rPr>
          <w:rFonts w:ascii="宋体" w:eastAsia="宋体" w:hint="eastAsia"/>
          <w:color w:val="333333"/>
          <w:spacing w:val="-8"/>
          <w:sz w:val="24"/>
        </w:rPr>
        <w:t>施</w:t>
      </w:r>
      <w:r>
        <w:rPr>
          <w:rFonts w:ascii="宋体" w:eastAsia="宋体" w:hint="eastAsia"/>
          <w:color w:val="333333"/>
          <w:spacing w:val="-10"/>
          <w:sz w:val="24"/>
        </w:rPr>
        <w:t>行。</w:t>
      </w:r>
      <w:r>
        <w:rPr>
          <w:rFonts w:ascii="宋体" w:eastAsia="宋体" w:hint="eastAsia"/>
          <w:color w:val="333333"/>
          <w:spacing w:val="-8"/>
          <w:sz w:val="24"/>
        </w:rPr>
        <w:t>地方</w:t>
      </w:r>
      <w:r>
        <w:rPr>
          <w:rFonts w:ascii="宋体" w:eastAsia="宋体" w:hint="eastAsia"/>
          <w:color w:val="333333"/>
          <w:spacing w:val="-10"/>
          <w:sz w:val="24"/>
        </w:rPr>
        <w:t>各级</w:t>
      </w:r>
      <w:r>
        <w:rPr>
          <w:rFonts w:ascii="宋体" w:eastAsia="宋体" w:hint="eastAsia"/>
          <w:color w:val="333333"/>
          <w:spacing w:val="-8"/>
          <w:sz w:val="24"/>
        </w:rPr>
        <w:t>人</w:t>
      </w:r>
      <w:r>
        <w:rPr>
          <w:rFonts w:ascii="宋体" w:eastAsia="宋体" w:hint="eastAsia"/>
          <w:color w:val="333333"/>
          <w:spacing w:val="-10"/>
          <w:sz w:val="24"/>
        </w:rPr>
        <w:t>民</w:t>
      </w:r>
      <w:r>
        <w:rPr>
          <w:rFonts w:ascii="宋体" w:eastAsia="宋体" w:hint="eastAsia"/>
          <w:color w:val="333333"/>
          <w:sz w:val="24"/>
        </w:rPr>
        <w:t>政</w:t>
      </w:r>
    </w:p>
    <w:p>
      <w:pPr>
        <w:pStyle w:val="BodyText"/>
        <w:spacing w:before="39"/>
        <w:rPr>
          <w:rFonts w:ascii="宋体" w:eastAsia="宋体" w:hint="eastAsia"/>
        </w:rPr>
      </w:pPr>
      <w:r>
        <w:rPr>
          <w:rFonts w:ascii="宋体" w:eastAsia="宋体" w:hint="eastAsia"/>
          <w:color w:val="333333"/>
        </w:rPr>
        <w:t>府、国务院有关部门等可结合实际制定具体实施办法。</w:t>
      </w:r>
    </w:p>
    <w:p>
      <w:pPr>
        <w:spacing w:after="0"/>
        <w:rPr>
          <w:rFonts w:ascii="宋体" w:eastAsia="宋体" w:hint="eastAsia"/>
        </w:rPr>
        <w:sectPr>
          <w:pgSz w:w="8400" w:h="11910"/>
          <w:pgMar w:header="0" w:footer="870" w:top="1100" w:bottom="1060" w:left="820" w:right="780"/>
        </w:sectPr>
      </w:pPr>
    </w:p>
    <w:p>
      <w:pPr>
        <w:pStyle w:val="Heading3"/>
        <w:spacing w:before="127"/>
        <w:ind w:left="200"/>
        <w:rPr>
          <w:rFonts w:ascii="仿宋" w:eastAsia="仿宋" w:hint="eastAsia"/>
        </w:rPr>
      </w:pPr>
      <w:bookmarkStart w:name="_bookmark29" w:id="30"/>
      <w:bookmarkEnd w:id="30"/>
      <w:r>
        <w:rPr>
          <w:b w:val="0"/>
        </w:rPr>
      </w:r>
      <w:r>
        <w:rPr>
          <w:rFonts w:ascii="仿宋" w:eastAsia="仿宋" w:hint="eastAsia"/>
        </w:rPr>
        <w:t>附件七：《机关、团体、企业、事业单位消防安全管理规定》</w:t>
      </w:r>
    </w:p>
    <w:p>
      <w:pPr>
        <w:pStyle w:val="BodyText"/>
        <w:ind w:left="0"/>
        <w:rPr>
          <w:b/>
        </w:rPr>
      </w:pPr>
    </w:p>
    <w:p>
      <w:pPr>
        <w:pStyle w:val="BodyText"/>
        <w:spacing w:before="6"/>
        <w:ind w:left="0"/>
        <w:rPr>
          <w:b/>
          <w:sz w:val="23"/>
        </w:rPr>
      </w:pPr>
    </w:p>
    <w:p>
      <w:pPr>
        <w:tabs>
          <w:tab w:pos="1125" w:val="left" w:leader="none"/>
          <w:tab w:pos="1687" w:val="left" w:leader="none"/>
        </w:tabs>
        <w:spacing w:before="0"/>
        <w:ind w:left="0" w:right="38" w:firstLine="0"/>
        <w:jc w:val="center"/>
        <w:rPr>
          <w:b/>
          <w:sz w:val="28"/>
        </w:rPr>
      </w:pPr>
      <w:r>
        <w:rPr>
          <w:b/>
          <w:sz w:val="28"/>
        </w:rPr>
        <w:t>第一章</w:t>
        <w:tab/>
        <w:t>总</w:t>
        <w:tab/>
        <w:t>则</w:t>
      </w:r>
    </w:p>
    <w:p>
      <w:pPr>
        <w:pStyle w:val="BodyText"/>
        <w:tabs>
          <w:tab w:pos="1576" w:val="left" w:leader="none"/>
        </w:tabs>
        <w:spacing w:before="127"/>
        <w:ind w:firstLine="458"/>
        <w:rPr>
          <w:rFonts w:ascii="宋体" w:eastAsia="宋体" w:hint="eastAsia"/>
        </w:rPr>
      </w:pPr>
      <w:r>
        <w:rPr>
          <w:rFonts w:ascii="Microsoft JhengHei" w:eastAsia="Microsoft JhengHei" w:hint="eastAsia"/>
          <w:b/>
          <w:color w:val="333333"/>
          <w:spacing w:val="-12"/>
        </w:rPr>
        <w:t>第一</w:t>
      </w:r>
      <w:r>
        <w:rPr>
          <w:rFonts w:ascii="Microsoft JhengHei" w:eastAsia="Microsoft JhengHei" w:hint="eastAsia"/>
          <w:b/>
          <w:color w:val="333333"/>
        </w:rPr>
        <w:t>条</w:t>
        <w:tab/>
      </w:r>
      <w:r>
        <w:rPr>
          <w:rFonts w:ascii="宋体" w:eastAsia="宋体" w:hint="eastAsia"/>
          <w:color w:val="333333"/>
          <w:spacing w:val="-12"/>
        </w:rPr>
        <w:t>为了加强和规范机</w:t>
      </w:r>
      <w:r>
        <w:rPr>
          <w:rFonts w:ascii="宋体" w:eastAsia="宋体" w:hint="eastAsia"/>
          <w:color w:val="333333"/>
          <w:spacing w:val="-20"/>
        </w:rPr>
        <w:t>关、</w:t>
      </w:r>
      <w:r>
        <w:rPr>
          <w:rFonts w:ascii="宋体" w:eastAsia="宋体" w:hint="eastAsia"/>
          <w:color w:val="333333"/>
          <w:spacing w:val="-12"/>
        </w:rPr>
        <w:t>团</w:t>
      </w:r>
      <w:r>
        <w:rPr>
          <w:rFonts w:ascii="宋体" w:eastAsia="宋体" w:hint="eastAsia"/>
          <w:color w:val="333333"/>
          <w:spacing w:val="-20"/>
        </w:rPr>
        <w:t>体、</w:t>
      </w:r>
      <w:r>
        <w:rPr>
          <w:rFonts w:ascii="宋体" w:eastAsia="宋体" w:hint="eastAsia"/>
          <w:color w:val="333333"/>
          <w:spacing w:val="-12"/>
        </w:rPr>
        <w:t>企</w:t>
      </w:r>
      <w:r>
        <w:rPr>
          <w:rFonts w:ascii="宋体" w:eastAsia="宋体" w:hint="eastAsia"/>
          <w:color w:val="333333"/>
          <w:spacing w:val="-17"/>
        </w:rPr>
        <w:t>业、</w:t>
      </w:r>
      <w:r>
        <w:rPr>
          <w:rFonts w:ascii="宋体" w:eastAsia="宋体" w:hint="eastAsia"/>
          <w:color w:val="333333"/>
          <w:spacing w:val="-12"/>
        </w:rPr>
        <w:t>事业单位的消</w:t>
      </w:r>
    </w:p>
    <w:p>
      <w:pPr>
        <w:pStyle w:val="BodyText"/>
        <w:spacing w:line="312" w:lineRule="auto" w:before="39"/>
        <w:ind w:right="230"/>
        <w:rPr>
          <w:rFonts w:ascii="宋体" w:eastAsia="宋体" w:hint="eastAsia"/>
        </w:rPr>
      </w:pPr>
      <w:r>
        <w:rPr>
          <w:rFonts w:ascii="宋体" w:eastAsia="宋体" w:hint="eastAsia"/>
          <w:color w:val="333333"/>
          <w:spacing w:val="-18"/>
        </w:rPr>
        <w:t>防安全管理，预防火灾和减少火灾危害，根据《中华人民共和国</w:t>
      </w:r>
      <w:r>
        <w:rPr>
          <w:rFonts w:ascii="宋体" w:eastAsia="宋体" w:hint="eastAsia"/>
          <w:color w:val="333333"/>
          <w:spacing w:val="-12"/>
        </w:rPr>
        <w:t>消防法》，制定本规定。</w:t>
      </w:r>
    </w:p>
    <w:p>
      <w:pPr>
        <w:pStyle w:val="BodyText"/>
        <w:tabs>
          <w:tab w:pos="1576" w:val="left" w:leader="none"/>
        </w:tabs>
        <w:spacing w:line="362" w:lineRule="exact"/>
        <w:ind w:left="658"/>
        <w:rPr>
          <w:rFonts w:ascii="宋体" w:eastAsia="宋体" w:hint="eastAsia"/>
        </w:rPr>
      </w:pPr>
      <w:r>
        <w:rPr>
          <w:rFonts w:ascii="Microsoft JhengHei" w:eastAsia="Microsoft JhengHei" w:hint="eastAsia"/>
          <w:b/>
          <w:color w:val="333333"/>
          <w:spacing w:val="-12"/>
        </w:rPr>
        <w:t>第二</w:t>
      </w:r>
      <w:r>
        <w:rPr>
          <w:rFonts w:ascii="Microsoft JhengHei" w:eastAsia="Microsoft JhengHei" w:hint="eastAsia"/>
          <w:b/>
          <w:color w:val="333333"/>
        </w:rPr>
        <w:t>条</w:t>
        <w:tab/>
      </w:r>
      <w:r>
        <w:rPr>
          <w:rFonts w:ascii="宋体" w:eastAsia="宋体" w:hint="eastAsia"/>
          <w:color w:val="333333"/>
          <w:spacing w:val="-12"/>
        </w:rPr>
        <w:t>本规定适用于中华人民共和国境内的机关、团体、</w:t>
      </w:r>
    </w:p>
    <w:p>
      <w:pPr>
        <w:pStyle w:val="BodyText"/>
        <w:spacing w:line="312" w:lineRule="auto" w:before="39"/>
        <w:ind w:left="656" w:right="1115" w:hanging="456"/>
        <w:rPr>
          <w:rFonts w:ascii="宋体" w:eastAsia="宋体" w:hint="eastAsia"/>
        </w:rPr>
      </w:pPr>
      <w:r>
        <w:rPr>
          <w:rFonts w:ascii="宋体" w:eastAsia="宋体" w:hint="eastAsia"/>
          <w:color w:val="333333"/>
          <w:spacing w:val="-13"/>
        </w:rPr>
        <w:t>企业、事业单位(以下统称单位)自身的消防安全管理。</w:t>
      </w:r>
      <w:r>
        <w:rPr>
          <w:rFonts w:ascii="宋体" w:eastAsia="宋体" w:hint="eastAsia"/>
          <w:color w:val="333333"/>
          <w:spacing w:val="-12"/>
        </w:rPr>
        <w:t>法律、法规另有规定的除外。</w:t>
      </w:r>
    </w:p>
    <w:p>
      <w:pPr>
        <w:pStyle w:val="BodyText"/>
        <w:tabs>
          <w:tab w:pos="1588" w:val="left" w:leader="none"/>
        </w:tabs>
        <w:spacing w:line="362" w:lineRule="exact"/>
        <w:ind w:left="658"/>
        <w:rPr>
          <w:rFonts w:ascii="宋体" w:eastAsia="宋体" w:hint="eastAsia"/>
        </w:rPr>
      </w:pPr>
      <w:r>
        <w:rPr>
          <w:rFonts w:ascii="Microsoft JhengHei" w:eastAsia="Microsoft JhengHei" w:hint="eastAsia"/>
          <w:b/>
          <w:color w:val="333333"/>
          <w:spacing w:val="-10"/>
        </w:rPr>
        <w:t>第</w:t>
      </w:r>
      <w:r>
        <w:rPr>
          <w:rFonts w:ascii="Microsoft JhengHei" w:eastAsia="Microsoft JhengHei" w:hint="eastAsia"/>
          <w:b/>
          <w:color w:val="333333"/>
          <w:spacing w:val="-8"/>
        </w:rPr>
        <w:t>三</w:t>
      </w:r>
      <w:r>
        <w:rPr>
          <w:rFonts w:ascii="Microsoft JhengHei" w:eastAsia="Microsoft JhengHei" w:hint="eastAsia"/>
          <w:b/>
          <w:color w:val="333333"/>
        </w:rPr>
        <w:t>条</w:t>
        <w:tab/>
      </w:r>
      <w:r>
        <w:rPr>
          <w:rFonts w:ascii="宋体" w:eastAsia="宋体" w:hint="eastAsia"/>
          <w:color w:val="333333"/>
          <w:spacing w:val="-10"/>
        </w:rPr>
        <w:t>单位应当遵</w:t>
      </w:r>
      <w:r>
        <w:rPr>
          <w:rFonts w:ascii="宋体" w:eastAsia="宋体" w:hint="eastAsia"/>
          <w:color w:val="333333"/>
          <w:spacing w:val="-8"/>
        </w:rPr>
        <w:t>守</w:t>
      </w:r>
      <w:r>
        <w:rPr>
          <w:rFonts w:ascii="宋体" w:eastAsia="宋体" w:hint="eastAsia"/>
          <w:color w:val="333333"/>
          <w:spacing w:val="-10"/>
        </w:rPr>
        <w:t>消防法律、</w:t>
      </w:r>
      <w:r>
        <w:rPr>
          <w:rFonts w:ascii="宋体" w:eastAsia="宋体" w:hint="eastAsia"/>
          <w:color w:val="333333"/>
          <w:spacing w:val="-8"/>
        </w:rPr>
        <w:t>法</w:t>
      </w:r>
      <w:r>
        <w:rPr>
          <w:rFonts w:ascii="宋体" w:eastAsia="宋体" w:hint="eastAsia"/>
          <w:color w:val="333333"/>
          <w:spacing w:val="-10"/>
        </w:rPr>
        <w:t>规、规</w:t>
      </w:r>
      <w:r>
        <w:rPr>
          <w:rFonts w:ascii="宋体" w:eastAsia="宋体" w:hint="eastAsia"/>
          <w:color w:val="333333"/>
          <w:spacing w:val="-9"/>
        </w:rPr>
        <w:t>章</w:t>
      </w:r>
      <w:r>
        <w:rPr>
          <w:rFonts w:ascii="宋体" w:eastAsia="宋体" w:hint="eastAsia"/>
          <w:color w:val="333333"/>
        </w:rPr>
        <w:t>(</w:t>
      </w:r>
      <w:r>
        <w:rPr>
          <w:rFonts w:ascii="宋体" w:eastAsia="宋体" w:hint="eastAsia"/>
          <w:color w:val="333333"/>
          <w:spacing w:val="-10"/>
        </w:rPr>
        <w:t>以下统称消</w:t>
      </w:r>
    </w:p>
    <w:p>
      <w:pPr>
        <w:pStyle w:val="BodyText"/>
        <w:spacing w:line="312" w:lineRule="auto" w:before="39"/>
        <w:ind w:right="232"/>
        <w:rPr>
          <w:rFonts w:ascii="宋体" w:eastAsia="宋体" w:hint="eastAsia"/>
        </w:rPr>
      </w:pPr>
      <w:r>
        <w:rPr>
          <w:rFonts w:ascii="宋体" w:eastAsia="宋体" w:hint="eastAsia"/>
          <w:color w:val="333333"/>
          <w:spacing w:val="-10"/>
        </w:rPr>
        <w:t>防法规)，贯彻预防为主、防消结合的消防工作方针，履行消防</w:t>
      </w:r>
      <w:r>
        <w:rPr>
          <w:rFonts w:ascii="宋体" w:eastAsia="宋体" w:hint="eastAsia"/>
          <w:color w:val="333333"/>
          <w:spacing w:val="-12"/>
        </w:rPr>
        <w:t>安全职责，保障消防安全。</w:t>
      </w:r>
    </w:p>
    <w:p>
      <w:pPr>
        <w:pStyle w:val="BodyText"/>
        <w:tabs>
          <w:tab w:pos="1580" w:val="left" w:leader="none"/>
        </w:tabs>
        <w:spacing w:line="362" w:lineRule="exact"/>
        <w:ind w:left="658"/>
        <w:rPr>
          <w:rFonts w:ascii="宋体" w:eastAsia="宋体" w:hint="eastAsia"/>
        </w:rPr>
      </w:pPr>
      <w:r>
        <w:rPr>
          <w:rFonts w:ascii="Microsoft JhengHei" w:eastAsia="Microsoft JhengHei" w:hint="eastAsia"/>
          <w:b/>
          <w:color w:val="333333"/>
          <w:spacing w:val="-10"/>
        </w:rPr>
        <w:t>第四</w:t>
      </w:r>
      <w:r>
        <w:rPr>
          <w:rFonts w:ascii="Microsoft JhengHei" w:eastAsia="Microsoft JhengHei" w:hint="eastAsia"/>
          <w:b/>
          <w:color w:val="333333"/>
        </w:rPr>
        <w:t>条</w:t>
        <w:tab/>
      </w:r>
      <w:r>
        <w:rPr>
          <w:rFonts w:ascii="宋体" w:eastAsia="宋体" w:hint="eastAsia"/>
          <w:color w:val="333333"/>
          <w:spacing w:val="-12"/>
        </w:rPr>
        <w:t>法</w:t>
      </w:r>
      <w:r>
        <w:rPr>
          <w:rFonts w:ascii="宋体" w:eastAsia="宋体" w:hint="eastAsia"/>
          <w:color w:val="333333"/>
          <w:spacing w:val="-15"/>
        </w:rPr>
        <w:t>人单</w:t>
      </w:r>
      <w:r>
        <w:rPr>
          <w:rFonts w:ascii="宋体" w:eastAsia="宋体" w:hint="eastAsia"/>
          <w:color w:val="333333"/>
          <w:spacing w:val="-12"/>
        </w:rPr>
        <w:t>位</w:t>
      </w:r>
      <w:r>
        <w:rPr>
          <w:rFonts w:ascii="宋体" w:eastAsia="宋体" w:hint="eastAsia"/>
          <w:color w:val="333333"/>
          <w:spacing w:val="-15"/>
        </w:rPr>
        <w:t>的法定代</w:t>
      </w:r>
      <w:r>
        <w:rPr>
          <w:rFonts w:ascii="宋体" w:eastAsia="宋体" w:hint="eastAsia"/>
          <w:color w:val="333333"/>
          <w:spacing w:val="-12"/>
        </w:rPr>
        <w:t>表</w:t>
      </w:r>
      <w:r>
        <w:rPr>
          <w:rFonts w:ascii="宋体" w:eastAsia="宋体" w:hint="eastAsia"/>
          <w:color w:val="333333"/>
          <w:spacing w:val="-15"/>
        </w:rPr>
        <w:t>人或者非法人单位的</w:t>
      </w:r>
      <w:r>
        <w:rPr>
          <w:rFonts w:ascii="宋体" w:eastAsia="宋体" w:hint="eastAsia"/>
          <w:color w:val="333333"/>
          <w:spacing w:val="-12"/>
        </w:rPr>
        <w:t>主</w:t>
      </w:r>
      <w:r>
        <w:rPr>
          <w:rFonts w:ascii="宋体" w:eastAsia="宋体" w:hint="eastAsia"/>
          <w:color w:val="333333"/>
          <w:spacing w:val="-15"/>
        </w:rPr>
        <w:t>要负</w:t>
      </w:r>
      <w:r>
        <w:rPr>
          <w:rFonts w:ascii="宋体" w:eastAsia="宋体" w:hint="eastAsia"/>
          <w:color w:val="333333"/>
        </w:rPr>
        <w:t>责</w:t>
      </w:r>
    </w:p>
    <w:p>
      <w:pPr>
        <w:pStyle w:val="BodyText"/>
        <w:tabs>
          <w:tab w:pos="1607" w:val="left" w:leader="none"/>
        </w:tabs>
        <w:spacing w:line="249" w:lineRule="auto" w:before="39"/>
        <w:ind w:left="658" w:right="169" w:hanging="459"/>
        <w:rPr>
          <w:rFonts w:ascii="宋体" w:eastAsia="宋体" w:hint="eastAsia"/>
        </w:rPr>
      </w:pPr>
      <w:r>
        <w:rPr>
          <w:rFonts w:ascii="宋体" w:eastAsia="宋体" w:hint="eastAsia"/>
          <w:color w:val="333333"/>
          <w:spacing w:val="-15"/>
        </w:rPr>
        <w:t>人</w:t>
      </w:r>
      <w:r>
        <w:rPr>
          <w:rFonts w:ascii="宋体" w:eastAsia="宋体" w:hint="eastAsia"/>
          <w:color w:val="333333"/>
          <w:spacing w:val="-17"/>
        </w:rPr>
        <w:t>是单</w:t>
      </w:r>
      <w:r>
        <w:rPr>
          <w:rFonts w:ascii="宋体" w:eastAsia="宋体" w:hint="eastAsia"/>
          <w:color w:val="333333"/>
          <w:spacing w:val="-15"/>
        </w:rPr>
        <w:t>位</w:t>
      </w:r>
      <w:r>
        <w:rPr>
          <w:rFonts w:ascii="宋体" w:eastAsia="宋体" w:hint="eastAsia"/>
          <w:color w:val="333333"/>
          <w:spacing w:val="-17"/>
        </w:rPr>
        <w:t>的消</w:t>
      </w:r>
      <w:r>
        <w:rPr>
          <w:rFonts w:ascii="宋体" w:eastAsia="宋体" w:hint="eastAsia"/>
          <w:color w:val="333333"/>
          <w:spacing w:val="-15"/>
        </w:rPr>
        <w:t>防</w:t>
      </w:r>
      <w:r>
        <w:rPr>
          <w:rFonts w:ascii="宋体" w:eastAsia="宋体" w:hint="eastAsia"/>
          <w:color w:val="333333"/>
          <w:spacing w:val="-17"/>
        </w:rPr>
        <w:t>安全责</w:t>
      </w:r>
      <w:r>
        <w:rPr>
          <w:rFonts w:ascii="宋体" w:eastAsia="宋体" w:hint="eastAsia"/>
          <w:color w:val="333333"/>
          <w:spacing w:val="-15"/>
        </w:rPr>
        <w:t>任</w:t>
      </w:r>
      <w:r>
        <w:rPr>
          <w:rFonts w:ascii="宋体" w:eastAsia="宋体" w:hint="eastAsia"/>
          <w:color w:val="333333"/>
          <w:spacing w:val="-53"/>
        </w:rPr>
        <w:t>人，</w:t>
      </w:r>
      <w:r>
        <w:rPr>
          <w:rFonts w:ascii="宋体" w:eastAsia="宋体" w:hint="eastAsia"/>
          <w:color w:val="333333"/>
          <w:spacing w:val="-17"/>
        </w:rPr>
        <w:t>对</w:t>
      </w:r>
      <w:r>
        <w:rPr>
          <w:rFonts w:ascii="宋体" w:eastAsia="宋体" w:hint="eastAsia"/>
          <w:color w:val="333333"/>
          <w:spacing w:val="-15"/>
        </w:rPr>
        <w:t>本</w:t>
      </w:r>
      <w:r>
        <w:rPr>
          <w:rFonts w:ascii="宋体" w:eastAsia="宋体" w:hint="eastAsia"/>
          <w:color w:val="333333"/>
          <w:spacing w:val="-17"/>
        </w:rPr>
        <w:t>单位</w:t>
      </w:r>
      <w:r>
        <w:rPr>
          <w:rFonts w:ascii="宋体" w:eastAsia="宋体" w:hint="eastAsia"/>
          <w:color w:val="333333"/>
          <w:spacing w:val="-15"/>
        </w:rPr>
        <w:t>的</w:t>
      </w:r>
      <w:r>
        <w:rPr>
          <w:rFonts w:ascii="宋体" w:eastAsia="宋体" w:hint="eastAsia"/>
          <w:color w:val="333333"/>
          <w:spacing w:val="-16"/>
        </w:rPr>
        <w:t>消</w:t>
      </w:r>
      <w:r>
        <w:rPr>
          <w:rFonts w:ascii="宋体" w:eastAsia="宋体" w:hint="eastAsia"/>
          <w:color w:val="333333"/>
          <w:spacing w:val="-17"/>
        </w:rPr>
        <w:t>防安</w:t>
      </w:r>
      <w:r>
        <w:rPr>
          <w:rFonts w:ascii="宋体" w:eastAsia="宋体" w:hint="eastAsia"/>
          <w:color w:val="333333"/>
          <w:spacing w:val="-15"/>
        </w:rPr>
        <w:t>全</w:t>
      </w:r>
      <w:r>
        <w:rPr>
          <w:rFonts w:ascii="宋体" w:eastAsia="宋体" w:hint="eastAsia"/>
          <w:color w:val="333333"/>
          <w:spacing w:val="-17"/>
        </w:rPr>
        <w:t>工作</w:t>
      </w:r>
      <w:r>
        <w:rPr>
          <w:rFonts w:ascii="宋体" w:eastAsia="宋体" w:hint="eastAsia"/>
          <w:color w:val="333333"/>
          <w:spacing w:val="-15"/>
        </w:rPr>
        <w:t>全</w:t>
      </w:r>
      <w:r>
        <w:rPr>
          <w:rFonts w:ascii="宋体" w:eastAsia="宋体" w:hint="eastAsia"/>
          <w:color w:val="333333"/>
          <w:spacing w:val="-17"/>
        </w:rPr>
        <w:t>面负</w:t>
      </w:r>
      <w:r>
        <w:rPr>
          <w:rFonts w:ascii="宋体" w:eastAsia="宋体" w:hint="eastAsia"/>
          <w:color w:val="333333"/>
          <w:spacing w:val="-34"/>
        </w:rPr>
        <w:t>责</w:t>
      </w:r>
      <w:r>
        <w:rPr>
          <w:rFonts w:ascii="宋体" w:eastAsia="宋体" w:hint="eastAsia"/>
          <w:color w:val="333333"/>
        </w:rPr>
        <w:t>。</w:t>
      </w:r>
      <w:r>
        <w:rPr>
          <w:rFonts w:ascii="Microsoft JhengHei" w:eastAsia="Microsoft JhengHei" w:hint="eastAsia"/>
          <w:b/>
          <w:color w:val="333333"/>
          <w:spacing w:val="-5"/>
        </w:rPr>
        <w:t>第</w:t>
      </w:r>
      <w:r>
        <w:rPr>
          <w:rFonts w:ascii="Microsoft JhengHei" w:eastAsia="Microsoft JhengHei" w:hint="eastAsia"/>
          <w:b/>
          <w:color w:val="333333"/>
          <w:spacing w:val="-3"/>
        </w:rPr>
        <w:t>五</w:t>
      </w:r>
      <w:r>
        <w:rPr>
          <w:rFonts w:ascii="Microsoft JhengHei" w:eastAsia="Microsoft JhengHei" w:hint="eastAsia"/>
          <w:b/>
          <w:color w:val="333333"/>
        </w:rPr>
        <w:t>条</w:t>
        <w:tab/>
      </w:r>
      <w:r>
        <w:rPr>
          <w:rFonts w:ascii="宋体" w:eastAsia="宋体" w:hint="eastAsia"/>
          <w:color w:val="333333"/>
          <w:spacing w:val="-5"/>
        </w:rPr>
        <w:t>单位应当落</w:t>
      </w:r>
      <w:r>
        <w:rPr>
          <w:rFonts w:ascii="宋体" w:eastAsia="宋体" w:hint="eastAsia"/>
          <w:color w:val="333333"/>
          <w:spacing w:val="-3"/>
        </w:rPr>
        <w:t>实</w:t>
      </w:r>
      <w:r>
        <w:rPr>
          <w:rFonts w:ascii="宋体" w:eastAsia="宋体" w:hint="eastAsia"/>
          <w:color w:val="333333"/>
          <w:spacing w:val="-5"/>
        </w:rPr>
        <w:t>逐级消防</w:t>
      </w:r>
      <w:r>
        <w:rPr>
          <w:rFonts w:ascii="宋体" w:eastAsia="宋体" w:hint="eastAsia"/>
          <w:color w:val="333333"/>
          <w:spacing w:val="-3"/>
        </w:rPr>
        <w:t>安</w:t>
      </w:r>
      <w:r>
        <w:rPr>
          <w:rFonts w:ascii="宋体" w:eastAsia="宋体" w:hint="eastAsia"/>
          <w:color w:val="333333"/>
          <w:spacing w:val="-5"/>
        </w:rPr>
        <w:t>全责任</w:t>
      </w:r>
      <w:r>
        <w:rPr>
          <w:rFonts w:ascii="宋体" w:eastAsia="宋体" w:hint="eastAsia"/>
          <w:color w:val="333333"/>
          <w:spacing w:val="-3"/>
        </w:rPr>
        <w:t>制和</w:t>
      </w:r>
      <w:r>
        <w:rPr>
          <w:rFonts w:ascii="宋体" w:eastAsia="宋体" w:hint="eastAsia"/>
          <w:color w:val="333333"/>
          <w:spacing w:val="-5"/>
        </w:rPr>
        <w:t>岗位消防</w:t>
      </w:r>
      <w:r>
        <w:rPr>
          <w:rFonts w:ascii="宋体" w:eastAsia="宋体" w:hint="eastAsia"/>
          <w:color w:val="333333"/>
        </w:rPr>
        <w:t>安</w:t>
      </w:r>
    </w:p>
    <w:p>
      <w:pPr>
        <w:pStyle w:val="BodyText"/>
        <w:spacing w:line="312" w:lineRule="auto" w:before="20"/>
        <w:ind w:right="230"/>
        <w:rPr>
          <w:rFonts w:ascii="宋体" w:eastAsia="宋体" w:hint="eastAsia"/>
        </w:rPr>
      </w:pPr>
      <w:r>
        <w:rPr>
          <w:rFonts w:ascii="宋体" w:eastAsia="宋体" w:hint="eastAsia"/>
          <w:color w:val="333333"/>
          <w:spacing w:val="-18"/>
        </w:rPr>
        <w:t>全责任制，明确逐级和岗位消防安全职责，确定各级、各岗位的</w:t>
      </w:r>
      <w:r>
        <w:rPr>
          <w:rFonts w:ascii="宋体" w:eastAsia="宋体" w:hint="eastAsia"/>
          <w:color w:val="333333"/>
          <w:spacing w:val="-12"/>
        </w:rPr>
        <w:t>消防安全责任人。</w:t>
      </w:r>
    </w:p>
    <w:p>
      <w:pPr>
        <w:pStyle w:val="Heading2"/>
        <w:tabs>
          <w:tab w:pos="1125" w:val="left" w:leader="none"/>
        </w:tabs>
        <w:spacing w:before="113"/>
        <w:ind w:right="40"/>
      </w:pPr>
      <w:r>
        <w:rPr/>
        <w:t>第二章</w:t>
        <w:tab/>
        <w:t>消防安全责任</w:t>
      </w:r>
    </w:p>
    <w:p>
      <w:pPr>
        <w:pStyle w:val="BodyText"/>
        <w:tabs>
          <w:tab w:pos="1616" w:val="left" w:leader="none"/>
        </w:tabs>
        <w:spacing w:line="259" w:lineRule="auto" w:before="130"/>
        <w:ind w:right="243" w:firstLine="420"/>
        <w:rPr>
          <w:rFonts w:ascii="宋体" w:eastAsia="宋体" w:hint="eastAsia"/>
        </w:rPr>
      </w:pPr>
      <w:r>
        <w:rPr>
          <w:rFonts w:ascii="Microsoft JhengHei" w:eastAsia="Microsoft JhengHei" w:hint="eastAsia"/>
          <w:b/>
          <w:color w:val="333333"/>
          <w:spacing w:val="9"/>
        </w:rPr>
        <w:t>第</w:t>
      </w:r>
      <w:r>
        <w:rPr>
          <w:rFonts w:ascii="Microsoft JhengHei" w:eastAsia="Microsoft JhengHei" w:hint="eastAsia"/>
          <w:b/>
          <w:color w:val="333333"/>
          <w:spacing w:val="6"/>
        </w:rPr>
        <w:t>六</w:t>
      </w:r>
      <w:r>
        <w:rPr>
          <w:rFonts w:ascii="Microsoft JhengHei" w:eastAsia="Microsoft JhengHei" w:hint="eastAsia"/>
          <w:b/>
          <w:color w:val="333333"/>
        </w:rPr>
        <w:t>条</w:t>
        <w:tab/>
      </w:r>
      <w:r>
        <w:rPr>
          <w:rFonts w:ascii="宋体" w:eastAsia="宋体" w:hint="eastAsia"/>
          <w:color w:val="333333"/>
          <w:spacing w:val="6"/>
        </w:rPr>
        <w:t>单位的消</w:t>
      </w:r>
      <w:r>
        <w:rPr>
          <w:rFonts w:ascii="宋体" w:eastAsia="宋体" w:hint="eastAsia"/>
          <w:color w:val="333333"/>
          <w:spacing w:val="4"/>
        </w:rPr>
        <w:t>防</w:t>
      </w:r>
      <w:r>
        <w:rPr>
          <w:rFonts w:ascii="宋体" w:eastAsia="宋体" w:hint="eastAsia"/>
          <w:color w:val="333333"/>
          <w:spacing w:val="6"/>
        </w:rPr>
        <w:t>安全责任人应当履行下列消防安</w:t>
      </w:r>
      <w:r>
        <w:rPr>
          <w:rFonts w:ascii="宋体" w:eastAsia="宋体" w:hint="eastAsia"/>
          <w:color w:val="333333"/>
        </w:rPr>
        <w:t>全职责：</w:t>
      </w:r>
    </w:p>
    <w:p>
      <w:pPr>
        <w:pStyle w:val="BodyText"/>
        <w:spacing w:line="312" w:lineRule="auto" w:before="71"/>
        <w:ind w:right="242" w:firstLine="420"/>
        <w:rPr>
          <w:rFonts w:ascii="宋体" w:eastAsia="宋体" w:hint="eastAsia"/>
        </w:rPr>
      </w:pPr>
      <w:r>
        <w:rPr>
          <w:rFonts w:ascii="宋体" w:eastAsia="宋体" w:hint="eastAsia"/>
          <w:color w:val="333333"/>
          <w:spacing w:val="-13"/>
        </w:rPr>
        <w:t>(一)贯彻执行消防法规，保障单位消防安全符合规定，掌握</w:t>
      </w:r>
      <w:r>
        <w:rPr>
          <w:rFonts w:ascii="宋体" w:eastAsia="宋体" w:hint="eastAsia"/>
          <w:color w:val="333333"/>
          <w:spacing w:val="-12"/>
        </w:rPr>
        <w:t>本单位的消防安全情况；</w:t>
      </w:r>
    </w:p>
    <w:p>
      <w:pPr>
        <w:spacing w:after="0" w:line="312" w:lineRule="auto"/>
        <w:rPr>
          <w:rFonts w:ascii="宋体" w:eastAsia="宋体" w:hint="eastAsia"/>
        </w:rPr>
        <w:sectPr>
          <w:pgSz w:w="8400" w:h="11910"/>
          <w:pgMar w:header="0" w:footer="870" w:top="1100" w:bottom="1060" w:left="820" w:right="780"/>
        </w:sectPr>
      </w:pPr>
    </w:p>
    <w:p>
      <w:pPr>
        <w:pStyle w:val="BodyText"/>
        <w:spacing w:line="312" w:lineRule="auto" w:before="127"/>
        <w:ind w:right="242" w:firstLine="420"/>
        <w:rPr>
          <w:rFonts w:ascii="宋体" w:eastAsia="宋体" w:hint="eastAsia"/>
        </w:rPr>
      </w:pPr>
      <w:r>
        <w:rPr>
          <w:rFonts w:ascii="宋体" w:eastAsia="宋体" w:hint="eastAsia"/>
          <w:color w:val="333333"/>
          <w:spacing w:val="-13"/>
        </w:rPr>
        <w:t>(二)将消防工作与本单位的生产、科研、经营、管理等活动</w:t>
      </w:r>
      <w:r>
        <w:rPr>
          <w:rFonts w:ascii="宋体" w:eastAsia="宋体" w:hint="eastAsia"/>
          <w:color w:val="333333"/>
          <w:spacing w:val="-12"/>
        </w:rPr>
        <w:t>统筹安排，批准实施年度消防工作计划；</w:t>
      </w:r>
    </w:p>
    <w:p>
      <w:pPr>
        <w:pStyle w:val="BodyText"/>
        <w:spacing w:before="2"/>
        <w:ind w:left="620"/>
        <w:rPr>
          <w:rFonts w:ascii="宋体" w:eastAsia="宋体" w:hint="eastAsia"/>
        </w:rPr>
      </w:pPr>
      <w:r>
        <w:rPr>
          <w:rFonts w:ascii="宋体" w:eastAsia="宋体" w:hint="eastAsia"/>
          <w:color w:val="333333"/>
        </w:rPr>
        <w:t>(三)为本单位的消防安全提供必要的经费和组织保障；</w:t>
      </w:r>
    </w:p>
    <w:p>
      <w:pPr>
        <w:pStyle w:val="BodyText"/>
        <w:spacing w:line="312" w:lineRule="auto" w:before="91"/>
        <w:ind w:right="242" w:firstLine="420"/>
        <w:rPr>
          <w:rFonts w:ascii="宋体" w:eastAsia="宋体" w:hint="eastAsia"/>
        </w:rPr>
      </w:pPr>
      <w:r>
        <w:rPr>
          <w:rFonts w:ascii="宋体" w:eastAsia="宋体" w:hint="eastAsia"/>
          <w:color w:val="333333"/>
          <w:spacing w:val="-13"/>
        </w:rPr>
        <w:t>(四)确定逐级消防安全责任，批准实施消防安全制度和保障</w:t>
      </w:r>
      <w:r>
        <w:rPr>
          <w:rFonts w:ascii="宋体" w:eastAsia="宋体" w:hint="eastAsia"/>
          <w:color w:val="333333"/>
          <w:spacing w:val="-12"/>
        </w:rPr>
        <w:t>消防安全的操作规程；</w:t>
      </w:r>
    </w:p>
    <w:p>
      <w:pPr>
        <w:pStyle w:val="BodyText"/>
        <w:spacing w:line="312" w:lineRule="auto" w:before="2"/>
        <w:ind w:right="242" w:firstLine="420"/>
        <w:rPr>
          <w:rFonts w:ascii="宋体" w:eastAsia="宋体" w:hint="eastAsia"/>
        </w:rPr>
      </w:pPr>
      <w:r>
        <w:rPr>
          <w:rFonts w:ascii="宋体" w:eastAsia="宋体" w:hint="eastAsia"/>
          <w:color w:val="333333"/>
          <w:spacing w:val="-13"/>
        </w:rPr>
        <w:t>(五)组织防火检查，督促落实火灾隐患整改，及时处理涉及</w:t>
      </w:r>
      <w:r>
        <w:rPr>
          <w:rFonts w:ascii="宋体" w:eastAsia="宋体" w:hint="eastAsia"/>
          <w:color w:val="333333"/>
          <w:spacing w:val="-12"/>
        </w:rPr>
        <w:t>消防安全的重大问题；</w:t>
      </w:r>
    </w:p>
    <w:p>
      <w:pPr>
        <w:pStyle w:val="BodyText"/>
        <w:spacing w:before="1"/>
        <w:ind w:left="620"/>
        <w:rPr>
          <w:rFonts w:ascii="宋体" w:eastAsia="宋体" w:hint="eastAsia"/>
        </w:rPr>
      </w:pPr>
      <w:r>
        <w:rPr>
          <w:rFonts w:ascii="宋体" w:eastAsia="宋体" w:hint="eastAsia"/>
          <w:color w:val="333333"/>
        </w:rPr>
        <w:t>(六)根据消防法规的规定建立专职消防队、义务消防队;</w:t>
      </w:r>
    </w:p>
    <w:p>
      <w:pPr>
        <w:pStyle w:val="BodyText"/>
        <w:spacing w:line="312" w:lineRule="auto" w:before="93"/>
        <w:ind w:right="242" w:firstLine="420"/>
        <w:rPr>
          <w:rFonts w:ascii="宋体" w:eastAsia="宋体" w:hint="eastAsia"/>
        </w:rPr>
      </w:pPr>
      <w:r>
        <w:rPr>
          <w:rFonts w:ascii="宋体" w:eastAsia="宋体" w:hint="eastAsia"/>
          <w:color w:val="333333"/>
          <w:spacing w:val="-13"/>
        </w:rPr>
        <w:t>(七)组织制定符合本单位实际的灭火和应急疏散预案，并实</w:t>
      </w:r>
      <w:r>
        <w:rPr>
          <w:rFonts w:ascii="宋体" w:eastAsia="宋体" w:hint="eastAsia"/>
          <w:color w:val="333333"/>
          <w:spacing w:val="-12"/>
        </w:rPr>
        <w:t>施演练。</w:t>
      </w:r>
    </w:p>
    <w:p>
      <w:pPr>
        <w:pStyle w:val="BodyText"/>
        <w:tabs>
          <w:tab w:pos="1616" w:val="left" w:leader="none"/>
        </w:tabs>
        <w:spacing w:line="362" w:lineRule="exact"/>
        <w:ind w:left="620"/>
        <w:rPr>
          <w:rFonts w:ascii="宋体" w:eastAsia="宋体" w:hint="eastAsia"/>
        </w:rPr>
      </w:pPr>
      <w:r>
        <w:rPr>
          <w:rFonts w:ascii="Microsoft JhengHei" w:eastAsia="Microsoft JhengHei" w:hint="eastAsia"/>
          <w:b/>
          <w:color w:val="333333"/>
          <w:spacing w:val="6"/>
        </w:rPr>
        <w:t>第</w:t>
      </w:r>
      <w:r>
        <w:rPr>
          <w:rFonts w:ascii="Microsoft JhengHei" w:eastAsia="Microsoft JhengHei" w:hint="eastAsia"/>
          <w:b/>
          <w:color w:val="333333"/>
          <w:spacing w:val="9"/>
        </w:rPr>
        <w:t>七</w:t>
      </w:r>
      <w:r>
        <w:rPr>
          <w:rFonts w:ascii="Microsoft JhengHei" w:eastAsia="Microsoft JhengHei" w:hint="eastAsia"/>
          <w:b/>
          <w:color w:val="333333"/>
        </w:rPr>
        <w:t>条</w:t>
        <w:tab/>
      </w:r>
      <w:r>
        <w:rPr>
          <w:rFonts w:ascii="宋体" w:eastAsia="宋体" w:hint="eastAsia"/>
          <w:color w:val="333333"/>
          <w:spacing w:val="6"/>
        </w:rPr>
        <w:t>单位可以</w:t>
      </w:r>
      <w:r>
        <w:rPr>
          <w:rFonts w:ascii="宋体" w:eastAsia="宋体" w:hint="eastAsia"/>
          <w:color w:val="333333"/>
          <w:spacing w:val="9"/>
        </w:rPr>
        <w:t>根</w:t>
      </w:r>
      <w:r>
        <w:rPr>
          <w:rFonts w:ascii="宋体" w:eastAsia="宋体" w:hint="eastAsia"/>
          <w:color w:val="333333"/>
          <w:spacing w:val="6"/>
        </w:rPr>
        <w:t>据需要确定</w:t>
      </w:r>
      <w:r>
        <w:rPr>
          <w:rFonts w:ascii="宋体" w:eastAsia="宋体" w:hint="eastAsia"/>
          <w:color w:val="333333"/>
          <w:spacing w:val="9"/>
        </w:rPr>
        <w:t>本</w:t>
      </w:r>
      <w:r>
        <w:rPr>
          <w:rFonts w:ascii="宋体" w:eastAsia="宋体" w:hint="eastAsia"/>
          <w:color w:val="333333"/>
          <w:spacing w:val="6"/>
        </w:rPr>
        <w:t>单位</w:t>
      </w:r>
      <w:r>
        <w:rPr>
          <w:rFonts w:ascii="宋体" w:eastAsia="宋体" w:hint="eastAsia"/>
          <w:color w:val="333333"/>
          <w:spacing w:val="9"/>
        </w:rPr>
        <w:t>的</w:t>
      </w:r>
      <w:r>
        <w:rPr>
          <w:rFonts w:ascii="宋体" w:eastAsia="宋体" w:hint="eastAsia"/>
          <w:color w:val="333333"/>
          <w:spacing w:val="6"/>
        </w:rPr>
        <w:t>消防安全管</w:t>
      </w:r>
      <w:r>
        <w:rPr>
          <w:rFonts w:ascii="宋体" w:eastAsia="宋体" w:hint="eastAsia"/>
          <w:color w:val="333333"/>
        </w:rPr>
        <w:t>理</w:t>
      </w:r>
    </w:p>
    <w:p>
      <w:pPr>
        <w:pStyle w:val="BodyText"/>
        <w:spacing w:line="312" w:lineRule="auto" w:before="39"/>
        <w:ind w:right="230"/>
        <w:rPr>
          <w:rFonts w:ascii="宋体" w:eastAsia="宋体" w:hint="eastAsia"/>
        </w:rPr>
      </w:pPr>
      <w:r>
        <w:rPr>
          <w:rFonts w:ascii="宋体" w:eastAsia="宋体" w:hint="eastAsia"/>
          <w:color w:val="333333"/>
          <w:spacing w:val="-19"/>
        </w:rPr>
        <w:t>人。消防安全管理人对单位的消防安全责任人负责，实施和组织</w:t>
      </w:r>
      <w:r>
        <w:rPr>
          <w:rFonts w:ascii="宋体" w:eastAsia="宋体" w:hint="eastAsia"/>
          <w:color w:val="333333"/>
          <w:spacing w:val="-12"/>
        </w:rPr>
        <w:t>落实下列消防安全管理工作：</w:t>
      </w:r>
    </w:p>
    <w:p>
      <w:pPr>
        <w:pStyle w:val="BodyText"/>
        <w:spacing w:line="312" w:lineRule="auto"/>
        <w:ind w:right="242" w:firstLine="420"/>
        <w:rPr>
          <w:rFonts w:ascii="宋体" w:eastAsia="宋体" w:hint="eastAsia"/>
        </w:rPr>
      </w:pPr>
      <w:r>
        <w:rPr>
          <w:rFonts w:ascii="宋体" w:eastAsia="宋体" w:hint="eastAsia"/>
          <w:color w:val="333333"/>
          <w:spacing w:val="-13"/>
        </w:rPr>
        <w:t>(一)拟订年度消防工作计划，组织实施日常消防安全管理工</w:t>
      </w:r>
      <w:r>
        <w:rPr>
          <w:rFonts w:ascii="宋体" w:eastAsia="宋体" w:hint="eastAsia"/>
          <w:color w:val="333333"/>
          <w:spacing w:val="-12"/>
        </w:rPr>
        <w:t>作；</w:t>
      </w:r>
    </w:p>
    <w:p>
      <w:pPr>
        <w:pStyle w:val="BodyText"/>
        <w:spacing w:line="312" w:lineRule="auto"/>
        <w:ind w:right="242" w:firstLine="420"/>
        <w:rPr>
          <w:rFonts w:ascii="宋体" w:eastAsia="宋体" w:hint="eastAsia"/>
        </w:rPr>
      </w:pPr>
      <w:r>
        <w:rPr>
          <w:rFonts w:ascii="宋体" w:eastAsia="宋体" w:hint="eastAsia"/>
          <w:color w:val="333333"/>
          <w:spacing w:val="-13"/>
        </w:rPr>
        <w:t>(二)组织制订消防安全制度和保障消防安全的操作规程并检</w:t>
      </w:r>
      <w:r>
        <w:rPr>
          <w:rFonts w:ascii="宋体" w:eastAsia="宋体" w:hint="eastAsia"/>
          <w:color w:val="333333"/>
          <w:spacing w:val="-12"/>
        </w:rPr>
        <w:t>查督促其落实；</w:t>
      </w:r>
    </w:p>
    <w:p>
      <w:pPr>
        <w:pStyle w:val="BodyText"/>
        <w:spacing w:line="312" w:lineRule="auto" w:before="2"/>
        <w:ind w:left="620" w:right="926"/>
        <w:rPr>
          <w:rFonts w:ascii="宋体" w:eastAsia="宋体" w:hint="eastAsia"/>
        </w:rPr>
      </w:pPr>
      <w:r>
        <w:rPr>
          <w:rFonts w:ascii="宋体" w:eastAsia="宋体" w:hint="eastAsia"/>
          <w:color w:val="333333"/>
          <w:spacing w:val="-13"/>
        </w:rPr>
        <w:t>(三)拟订消防安全工作的资金投入和组织保障方案； </w:t>
      </w:r>
      <w:r>
        <w:rPr>
          <w:rFonts w:ascii="宋体" w:eastAsia="宋体" w:hint="eastAsia"/>
          <w:color w:val="333333"/>
          <w:spacing w:val="-12"/>
        </w:rPr>
        <w:t>(四)组织实施防火检查和火灾隐患整改工作；</w:t>
      </w:r>
    </w:p>
    <w:p>
      <w:pPr>
        <w:pStyle w:val="BodyText"/>
        <w:spacing w:line="314" w:lineRule="auto"/>
        <w:ind w:right="206" w:firstLine="420"/>
        <w:rPr>
          <w:rFonts w:ascii="宋体" w:eastAsia="宋体" w:hint="eastAsia"/>
        </w:rPr>
      </w:pPr>
      <w:r>
        <w:rPr>
          <w:rFonts w:ascii="宋体" w:eastAsia="宋体" w:hint="eastAsia"/>
          <w:color w:val="333333"/>
          <w:spacing w:val="-12"/>
        </w:rPr>
        <w:t>(五)组织实施对本单位消防设施、灭火器材和消防安全标志</w:t>
      </w:r>
      <w:r>
        <w:rPr>
          <w:rFonts w:ascii="宋体" w:eastAsia="宋体" w:hint="eastAsia"/>
          <w:color w:val="333333"/>
          <w:spacing w:val="-13"/>
        </w:rPr>
        <w:t>的维护保养，确保其完好有效，确保疏散通道和安全出口畅通；</w:t>
      </w:r>
    </w:p>
    <w:p>
      <w:pPr>
        <w:pStyle w:val="BodyText"/>
        <w:spacing w:line="302" w:lineRule="exact"/>
        <w:ind w:left="620"/>
        <w:rPr>
          <w:rFonts w:ascii="宋体" w:eastAsia="宋体" w:hint="eastAsia"/>
        </w:rPr>
      </w:pPr>
      <w:r>
        <w:rPr>
          <w:rFonts w:ascii="宋体" w:eastAsia="宋体" w:hint="eastAsia"/>
          <w:color w:val="333333"/>
        </w:rPr>
        <w:t>(六)组织管理专职消防队和义务消防队；</w:t>
      </w:r>
    </w:p>
    <w:p>
      <w:pPr>
        <w:pStyle w:val="BodyText"/>
        <w:spacing w:line="312" w:lineRule="auto" w:before="93"/>
        <w:ind w:right="242" w:firstLine="420"/>
        <w:rPr>
          <w:rFonts w:ascii="宋体" w:eastAsia="宋体" w:hint="eastAsia"/>
        </w:rPr>
      </w:pPr>
      <w:r>
        <w:rPr>
          <w:rFonts w:ascii="宋体" w:eastAsia="宋体" w:hint="eastAsia"/>
          <w:color w:val="333333"/>
          <w:spacing w:val="-13"/>
        </w:rPr>
        <w:t>(七)在员工中组织开展消防知识、技能的宣传教育和培训， </w:t>
      </w:r>
      <w:r>
        <w:rPr>
          <w:rFonts w:ascii="宋体" w:eastAsia="宋体" w:hint="eastAsia"/>
          <w:color w:val="333333"/>
          <w:spacing w:val="-12"/>
        </w:rPr>
        <w:t>组织灭火和应急疏散预案的实施和演练；</w:t>
      </w:r>
    </w:p>
    <w:p>
      <w:pPr>
        <w:spacing w:after="0" w:line="312" w:lineRule="auto"/>
        <w:rPr>
          <w:rFonts w:ascii="宋体" w:eastAsia="宋体" w:hint="eastAsia"/>
        </w:rPr>
        <w:sectPr>
          <w:pgSz w:w="8400" w:h="11910"/>
          <w:pgMar w:header="0" w:footer="870" w:top="1100" w:bottom="1060" w:left="820" w:right="780"/>
        </w:sectPr>
      </w:pPr>
    </w:p>
    <w:p>
      <w:pPr>
        <w:pStyle w:val="BodyText"/>
        <w:spacing w:line="312" w:lineRule="auto" w:before="127"/>
        <w:ind w:left="620" w:right="242"/>
        <w:rPr>
          <w:rFonts w:ascii="宋体" w:eastAsia="宋体" w:hint="eastAsia"/>
        </w:rPr>
      </w:pPr>
      <w:r>
        <w:rPr>
          <w:rFonts w:ascii="宋体" w:eastAsia="宋体" w:hint="eastAsia"/>
          <w:color w:val="333333"/>
          <w:spacing w:val="-12"/>
        </w:rPr>
        <w:t>(八)单位消防安全责任人委托的其他消防安全管理工作。 </w:t>
      </w:r>
      <w:r>
        <w:rPr>
          <w:rFonts w:ascii="宋体" w:eastAsia="宋体" w:hint="eastAsia"/>
          <w:color w:val="333333"/>
          <w:spacing w:val="-13"/>
        </w:rPr>
        <w:t>消防安全管理人应当定期向消防安全责任人报告消防安全情</w:t>
      </w:r>
    </w:p>
    <w:p>
      <w:pPr>
        <w:pStyle w:val="BodyText"/>
        <w:spacing w:line="312" w:lineRule="auto" w:before="2"/>
        <w:ind w:right="227"/>
        <w:jc w:val="both"/>
        <w:rPr>
          <w:rFonts w:ascii="宋体" w:eastAsia="宋体" w:hint="eastAsia"/>
        </w:rPr>
      </w:pPr>
      <w:r>
        <w:rPr>
          <w:rFonts w:ascii="宋体" w:eastAsia="宋体" w:hint="eastAsia"/>
          <w:color w:val="333333"/>
          <w:spacing w:val="-19"/>
        </w:rPr>
        <w:t>况，及时报告涉及消防安全的重大问题。未确定消防安全管理人</w:t>
      </w:r>
      <w:r>
        <w:rPr>
          <w:rFonts w:ascii="宋体" w:eastAsia="宋体" w:hint="eastAsia"/>
          <w:color w:val="333333"/>
          <w:spacing w:val="-18"/>
        </w:rPr>
        <w:t>的单位，前款规定的消防安全管理工作由单位消防安全责任人负</w:t>
      </w:r>
      <w:r>
        <w:rPr>
          <w:rFonts w:ascii="宋体" w:eastAsia="宋体" w:hint="eastAsia"/>
          <w:color w:val="333333"/>
          <w:spacing w:val="-12"/>
        </w:rPr>
        <w:t>责实施。</w:t>
      </w:r>
    </w:p>
    <w:p>
      <w:pPr>
        <w:pStyle w:val="BodyText"/>
        <w:spacing w:line="363" w:lineRule="exact"/>
        <w:ind w:left="620"/>
        <w:jc w:val="both"/>
        <w:rPr>
          <w:rFonts w:ascii="宋体" w:eastAsia="宋体" w:hint="eastAsia"/>
        </w:rPr>
      </w:pPr>
      <w:r>
        <w:rPr>
          <w:rFonts w:ascii="Microsoft JhengHei" w:eastAsia="Microsoft JhengHei" w:hint="eastAsia"/>
          <w:b/>
          <w:color w:val="333333"/>
        </w:rPr>
        <w:t>第八条 </w:t>
      </w:r>
      <w:r>
        <w:rPr>
          <w:rFonts w:ascii="宋体" w:eastAsia="宋体" w:hint="eastAsia"/>
          <w:color w:val="333333"/>
        </w:rPr>
        <w:t>实行承包、租赁或者委托经营、管理时，产权单位</w:t>
      </w:r>
    </w:p>
    <w:p>
      <w:pPr>
        <w:pStyle w:val="BodyText"/>
        <w:spacing w:line="312" w:lineRule="auto" w:before="37"/>
        <w:ind w:right="235"/>
        <w:jc w:val="both"/>
        <w:rPr>
          <w:rFonts w:ascii="宋体" w:eastAsia="宋体" w:hint="eastAsia"/>
        </w:rPr>
      </w:pPr>
      <w:r>
        <w:rPr>
          <w:rFonts w:ascii="宋体" w:eastAsia="宋体" w:hint="eastAsia"/>
          <w:color w:val="333333"/>
          <w:spacing w:val="-16"/>
        </w:rPr>
        <w:t>应当提供符合消防安全要求的建筑物，当事人在订立的合同中依照有关规定明确各方的消防安全责任；消防车通道、涉及公共消</w:t>
      </w:r>
      <w:r>
        <w:rPr>
          <w:rFonts w:ascii="宋体" w:eastAsia="宋体" w:hint="eastAsia"/>
          <w:color w:val="333333"/>
          <w:spacing w:val="-6"/>
        </w:rPr>
        <w:t>防安全的疏散设施和其他建筑消防设施应当由产权单位或者委</w:t>
      </w:r>
      <w:r>
        <w:rPr>
          <w:rFonts w:ascii="宋体" w:eastAsia="宋体" w:hint="eastAsia"/>
          <w:color w:val="333333"/>
          <w:spacing w:val="-12"/>
        </w:rPr>
        <w:t>托管理的单位统一管理。</w:t>
      </w:r>
    </w:p>
    <w:p>
      <w:pPr>
        <w:pStyle w:val="BodyText"/>
        <w:spacing w:line="312" w:lineRule="auto" w:before="2"/>
        <w:ind w:right="242" w:firstLine="420"/>
        <w:rPr>
          <w:rFonts w:ascii="宋体" w:eastAsia="宋体" w:hint="eastAsia"/>
        </w:rPr>
      </w:pPr>
      <w:r>
        <w:rPr>
          <w:rFonts w:ascii="宋体" w:eastAsia="宋体" w:hint="eastAsia"/>
          <w:color w:val="333333"/>
          <w:spacing w:val="-13"/>
        </w:rPr>
        <w:t>承包、承租或者受委托经营、管理的单位应当遵守本规定， </w:t>
      </w:r>
      <w:r>
        <w:rPr>
          <w:rFonts w:ascii="宋体" w:eastAsia="宋体" w:hint="eastAsia"/>
          <w:color w:val="333333"/>
          <w:spacing w:val="-12"/>
        </w:rPr>
        <w:t>在其使用、管理范围内履行消防安全职责。</w:t>
      </w:r>
    </w:p>
    <w:p>
      <w:pPr>
        <w:pStyle w:val="BodyText"/>
        <w:tabs>
          <w:tab w:pos="1537" w:val="left" w:leader="none"/>
        </w:tabs>
        <w:spacing w:line="362" w:lineRule="exact"/>
        <w:ind w:left="620"/>
        <w:rPr>
          <w:rFonts w:ascii="宋体" w:eastAsia="宋体" w:hint="eastAsia"/>
        </w:rPr>
      </w:pPr>
      <w:r>
        <w:rPr>
          <w:rFonts w:ascii="Microsoft JhengHei" w:eastAsia="Microsoft JhengHei" w:hint="eastAsia"/>
          <w:b/>
          <w:color w:val="333333"/>
          <w:spacing w:val="-12"/>
        </w:rPr>
        <w:t>第九</w:t>
      </w:r>
      <w:r>
        <w:rPr>
          <w:rFonts w:ascii="Microsoft JhengHei" w:eastAsia="Microsoft JhengHei" w:hint="eastAsia"/>
          <w:b/>
          <w:color w:val="333333"/>
        </w:rPr>
        <w:t>条</w:t>
        <w:tab/>
      </w:r>
      <w:r>
        <w:rPr>
          <w:rFonts w:ascii="宋体" w:eastAsia="宋体" w:hint="eastAsia"/>
          <w:color w:val="333333"/>
          <w:spacing w:val="-12"/>
        </w:rPr>
        <w:t>对于有两个以上产权单位和使用单位的建筑</w:t>
      </w:r>
      <w:r>
        <w:rPr>
          <w:rFonts w:ascii="宋体" w:eastAsia="宋体" w:hint="eastAsia"/>
          <w:color w:val="333333"/>
          <w:spacing w:val="-15"/>
        </w:rPr>
        <w:t>物</w:t>
      </w:r>
      <w:r>
        <w:rPr>
          <w:rFonts w:ascii="宋体" w:eastAsia="宋体" w:hint="eastAsia"/>
          <w:color w:val="333333"/>
          <w:spacing w:val="-12"/>
        </w:rPr>
        <w:t>，各</w:t>
      </w:r>
    </w:p>
    <w:p>
      <w:pPr>
        <w:pStyle w:val="BodyText"/>
        <w:spacing w:before="39"/>
        <w:rPr>
          <w:rFonts w:ascii="宋体" w:eastAsia="宋体" w:hint="eastAsia"/>
        </w:rPr>
      </w:pPr>
      <w:r>
        <w:rPr>
          <w:rFonts w:ascii="宋体" w:eastAsia="宋体" w:hint="eastAsia"/>
          <w:color w:val="333333"/>
          <w:spacing w:val="-19"/>
        </w:rPr>
        <w:t>产权单位、使用单位对消防车通道、涉及公共消防安全的疏散设</w:t>
      </w:r>
    </w:p>
    <w:p>
      <w:pPr>
        <w:pStyle w:val="BodyText"/>
        <w:tabs>
          <w:tab w:pos="1573" w:val="left" w:leader="none"/>
        </w:tabs>
        <w:spacing w:line="249" w:lineRule="auto" w:before="93"/>
        <w:ind w:left="620" w:right="206" w:hanging="420"/>
        <w:rPr>
          <w:rFonts w:ascii="宋体" w:eastAsia="宋体" w:hint="eastAsia"/>
        </w:rPr>
      </w:pPr>
      <w:r>
        <w:rPr>
          <w:rFonts w:ascii="宋体" w:eastAsia="宋体" w:hint="eastAsia"/>
          <w:color w:val="333333"/>
          <w:spacing w:val="-12"/>
        </w:rPr>
        <w:t>施和其他建筑消防设施应当明确管理责任，可以委托统一管理</w:t>
      </w:r>
      <w:r>
        <w:rPr>
          <w:rFonts w:ascii="宋体" w:eastAsia="宋体" w:hint="eastAsia"/>
          <w:color w:val="333333"/>
          <w:spacing w:val="-30"/>
        </w:rPr>
        <w:t>。</w:t>
      </w:r>
      <w:r>
        <w:rPr>
          <w:rFonts w:ascii="Microsoft JhengHei" w:eastAsia="Microsoft JhengHei" w:hint="eastAsia"/>
          <w:b/>
          <w:color w:val="333333"/>
          <w:spacing w:val="-3"/>
        </w:rPr>
        <w:t>第十</w:t>
      </w:r>
      <w:r>
        <w:rPr>
          <w:rFonts w:ascii="Microsoft JhengHei" w:eastAsia="Microsoft JhengHei" w:hint="eastAsia"/>
          <w:b/>
          <w:color w:val="333333"/>
        </w:rPr>
        <w:t>条</w:t>
        <w:tab/>
      </w:r>
      <w:r>
        <w:rPr>
          <w:rFonts w:ascii="宋体" w:eastAsia="宋体" w:hint="eastAsia"/>
          <w:color w:val="333333"/>
          <w:spacing w:val="-3"/>
        </w:rPr>
        <w:t>居民住宅区的物业管理单位</w:t>
      </w:r>
      <w:r>
        <w:rPr>
          <w:rFonts w:ascii="宋体" w:eastAsia="宋体" w:hint="eastAsia"/>
          <w:color w:val="333333"/>
          <w:spacing w:val="-5"/>
        </w:rPr>
        <w:t>应</w:t>
      </w:r>
      <w:r>
        <w:rPr>
          <w:rFonts w:ascii="宋体" w:eastAsia="宋体" w:hint="eastAsia"/>
          <w:color w:val="333333"/>
          <w:spacing w:val="-3"/>
        </w:rPr>
        <w:t>当在管理范围内履</w:t>
      </w:r>
    </w:p>
    <w:p>
      <w:pPr>
        <w:pStyle w:val="BodyText"/>
        <w:spacing w:before="21"/>
        <w:rPr>
          <w:rFonts w:ascii="宋体" w:eastAsia="宋体" w:hint="eastAsia"/>
        </w:rPr>
      </w:pPr>
      <w:r>
        <w:rPr>
          <w:rFonts w:ascii="宋体" w:eastAsia="宋体" w:hint="eastAsia"/>
          <w:color w:val="333333"/>
        </w:rPr>
        <w:t>行下列消防安全职责：</w:t>
      </w:r>
    </w:p>
    <w:p>
      <w:pPr>
        <w:pStyle w:val="BodyText"/>
        <w:spacing w:line="312" w:lineRule="auto" w:before="93"/>
        <w:ind w:right="242" w:firstLine="420"/>
        <w:rPr>
          <w:rFonts w:ascii="宋体" w:eastAsia="宋体" w:hint="eastAsia"/>
        </w:rPr>
      </w:pPr>
      <w:r>
        <w:rPr>
          <w:rFonts w:ascii="宋体" w:eastAsia="宋体" w:hint="eastAsia"/>
          <w:color w:val="333333"/>
          <w:spacing w:val="-13"/>
        </w:rPr>
        <w:t>(一)制定消防安全制度，落实消防安全责任，开展消防安全</w:t>
      </w:r>
      <w:r>
        <w:rPr>
          <w:rFonts w:ascii="宋体" w:eastAsia="宋体" w:hint="eastAsia"/>
          <w:color w:val="333333"/>
          <w:spacing w:val="-12"/>
        </w:rPr>
        <w:t>宣传教育；</w:t>
      </w:r>
    </w:p>
    <w:p>
      <w:pPr>
        <w:pStyle w:val="BodyText"/>
        <w:spacing w:line="307" w:lineRule="exact"/>
        <w:ind w:left="620"/>
        <w:rPr>
          <w:rFonts w:ascii="宋体" w:eastAsia="宋体" w:hint="eastAsia"/>
        </w:rPr>
      </w:pPr>
      <w:r>
        <w:rPr>
          <w:rFonts w:ascii="宋体" w:eastAsia="宋体" w:hint="eastAsia"/>
          <w:color w:val="333333"/>
        </w:rPr>
        <w:t>(二)开展防火检查，消除火灾隐患；</w:t>
      </w:r>
    </w:p>
    <w:p>
      <w:pPr>
        <w:pStyle w:val="BodyText"/>
        <w:spacing w:before="94"/>
        <w:ind w:left="620"/>
        <w:rPr>
          <w:rFonts w:ascii="宋体" w:eastAsia="宋体" w:hint="eastAsia"/>
        </w:rPr>
      </w:pPr>
      <w:r>
        <w:rPr>
          <w:rFonts w:ascii="宋体" w:eastAsia="宋体" w:hint="eastAsia"/>
          <w:color w:val="333333"/>
        </w:rPr>
        <w:t>(三)保障疏散通道、安全出口、消防车通道畅通；</w:t>
      </w:r>
    </w:p>
    <w:p>
      <w:pPr>
        <w:pStyle w:val="BodyText"/>
        <w:spacing w:line="312" w:lineRule="auto" w:before="91"/>
        <w:ind w:left="620" w:right="242"/>
        <w:rPr>
          <w:rFonts w:ascii="宋体" w:eastAsia="宋体" w:hint="eastAsia"/>
        </w:rPr>
      </w:pPr>
      <w:r>
        <w:rPr>
          <w:rFonts w:ascii="宋体" w:eastAsia="宋体" w:hint="eastAsia"/>
          <w:color w:val="333333"/>
          <w:spacing w:val="-13"/>
        </w:rPr>
        <w:t>(四)保障公共消防设施、器材以及消防安全标志完好有效。其他物业管理单位应当对受委托管理范围内的公共消防安全</w:t>
      </w:r>
    </w:p>
    <w:p>
      <w:pPr>
        <w:pStyle w:val="BodyText"/>
        <w:spacing w:before="2"/>
        <w:rPr>
          <w:rFonts w:ascii="宋体" w:eastAsia="宋体" w:hint="eastAsia"/>
        </w:rPr>
      </w:pPr>
      <w:r>
        <w:rPr>
          <w:rFonts w:ascii="宋体" w:eastAsia="宋体" w:hint="eastAsia"/>
          <w:color w:val="333333"/>
        </w:rPr>
        <w:t>管理工作负责。</w:t>
      </w:r>
    </w:p>
    <w:p>
      <w:pPr>
        <w:spacing w:after="0"/>
        <w:rPr>
          <w:rFonts w:ascii="宋体" w:eastAsia="宋体" w:hint="eastAsia"/>
        </w:rPr>
        <w:sectPr>
          <w:pgSz w:w="8400" w:h="11910"/>
          <w:pgMar w:header="0" w:footer="870" w:top="1100" w:bottom="1060" w:left="820" w:right="780"/>
        </w:sectPr>
      </w:pPr>
    </w:p>
    <w:p>
      <w:pPr>
        <w:pStyle w:val="BodyText"/>
        <w:spacing w:line="400" w:lineRule="exact" w:before="47"/>
        <w:ind w:right="227" w:firstLine="420"/>
        <w:jc w:val="both"/>
        <w:rPr>
          <w:rFonts w:ascii="宋体" w:eastAsia="宋体" w:hint="eastAsia"/>
        </w:rPr>
      </w:pPr>
      <w:r>
        <w:rPr>
          <w:rFonts w:ascii="Microsoft JhengHei" w:eastAsia="Microsoft JhengHei" w:hint="eastAsia"/>
          <w:b/>
          <w:color w:val="333333"/>
        </w:rPr>
        <w:t>第十一条 </w:t>
      </w:r>
      <w:r>
        <w:rPr>
          <w:rFonts w:ascii="宋体" w:eastAsia="宋体" w:hint="eastAsia"/>
          <w:color w:val="333333"/>
          <w:spacing w:val="-15"/>
        </w:rPr>
        <w:t>举办集会、焰火晚会、灯会等具有火灾危险的大</w:t>
      </w:r>
      <w:r>
        <w:rPr>
          <w:rFonts w:ascii="宋体" w:eastAsia="宋体" w:hint="eastAsia"/>
          <w:color w:val="333333"/>
          <w:spacing w:val="-17"/>
        </w:rPr>
        <w:t>型活动的主办单位、承办单位以及提供场地的单位，应当在订立的合同中明确各方的消防安全责任。</w:t>
      </w:r>
    </w:p>
    <w:p>
      <w:pPr>
        <w:spacing w:before="1"/>
        <w:ind w:left="200" w:right="0" w:firstLine="420"/>
        <w:jc w:val="both"/>
        <w:rPr>
          <w:rFonts w:ascii="宋体" w:eastAsia="宋体" w:hint="eastAsia"/>
          <w:sz w:val="24"/>
        </w:rPr>
      </w:pPr>
      <w:r>
        <w:rPr>
          <w:rFonts w:ascii="Microsoft JhengHei" w:eastAsia="Microsoft JhengHei" w:hint="eastAsia"/>
          <w:b/>
          <w:color w:val="333333"/>
          <w:sz w:val="24"/>
        </w:rPr>
        <w:t>第十二条 </w:t>
      </w:r>
      <w:r>
        <w:rPr>
          <w:rFonts w:ascii="宋体" w:eastAsia="宋体" w:hint="eastAsia"/>
          <w:color w:val="333333"/>
          <w:sz w:val="24"/>
        </w:rPr>
        <w:t>建筑工程施工现场的消防安全由施工单位负</w:t>
      </w:r>
    </w:p>
    <w:p>
      <w:pPr>
        <w:pStyle w:val="BodyText"/>
        <w:spacing w:line="312" w:lineRule="auto" w:before="39"/>
        <w:ind w:right="227"/>
        <w:rPr>
          <w:rFonts w:ascii="宋体" w:eastAsia="宋体" w:hint="eastAsia"/>
        </w:rPr>
      </w:pPr>
      <w:r>
        <w:rPr>
          <w:rFonts w:ascii="宋体" w:eastAsia="宋体" w:hint="eastAsia"/>
          <w:color w:val="333333"/>
          <w:spacing w:val="-18"/>
        </w:rPr>
        <w:t>责。实行施工总承包的，由总承包单位负责。分包单位向总承包</w:t>
      </w:r>
      <w:r>
        <w:rPr>
          <w:rFonts w:ascii="宋体" w:eastAsia="宋体" w:hint="eastAsia"/>
          <w:color w:val="333333"/>
          <w:spacing w:val="-12"/>
        </w:rPr>
        <w:t>单位负责，服从总承包单位对施工现场的消防安全管理。</w:t>
      </w:r>
    </w:p>
    <w:p>
      <w:pPr>
        <w:pStyle w:val="BodyText"/>
        <w:spacing w:line="312" w:lineRule="auto"/>
        <w:ind w:right="235" w:firstLine="420"/>
        <w:jc w:val="both"/>
        <w:rPr>
          <w:rFonts w:ascii="宋体" w:eastAsia="宋体" w:hint="eastAsia"/>
        </w:rPr>
      </w:pPr>
      <w:r>
        <w:rPr>
          <w:rFonts w:ascii="宋体" w:eastAsia="宋体" w:hint="eastAsia"/>
          <w:color w:val="333333"/>
          <w:spacing w:val="-13"/>
        </w:rPr>
        <w:t>对建筑物进行局部改建、扩建和装修的工程，建设单位应当</w:t>
      </w:r>
      <w:r>
        <w:rPr>
          <w:rFonts w:ascii="宋体" w:eastAsia="宋体" w:hint="eastAsia"/>
          <w:color w:val="333333"/>
          <w:spacing w:val="-6"/>
        </w:rPr>
        <w:t>与施工单位在订立的合同中明确各方对施工现场的消防安全责</w:t>
      </w:r>
      <w:r>
        <w:rPr>
          <w:rFonts w:ascii="宋体" w:eastAsia="宋体" w:hint="eastAsia"/>
          <w:color w:val="333333"/>
          <w:spacing w:val="-12"/>
        </w:rPr>
        <w:t>任。</w:t>
      </w:r>
    </w:p>
    <w:p>
      <w:pPr>
        <w:pStyle w:val="Heading2"/>
        <w:tabs>
          <w:tab w:pos="3095" w:val="left" w:leader="none"/>
        </w:tabs>
        <w:spacing w:before="114"/>
        <w:ind w:left="1969"/>
        <w:jc w:val="left"/>
      </w:pPr>
      <w:r>
        <w:rPr/>
        <w:t>第三章</w:t>
        <w:tab/>
        <w:t>消防安全管理</w:t>
      </w:r>
    </w:p>
    <w:p>
      <w:pPr>
        <w:pStyle w:val="BodyText"/>
        <w:tabs>
          <w:tab w:pos="1765" w:val="left" w:leader="none"/>
        </w:tabs>
        <w:spacing w:line="259" w:lineRule="auto" w:before="130"/>
        <w:ind w:right="241" w:firstLine="420"/>
        <w:rPr>
          <w:rFonts w:ascii="宋体" w:eastAsia="宋体" w:hint="eastAsia"/>
        </w:rPr>
      </w:pPr>
      <w:r>
        <w:rPr>
          <w:rFonts w:ascii="Microsoft JhengHei" w:eastAsia="Microsoft JhengHei" w:hint="eastAsia"/>
          <w:b/>
          <w:color w:val="333333"/>
          <w:spacing w:val="-12"/>
        </w:rPr>
        <w:t>第十</w:t>
      </w:r>
      <w:r>
        <w:rPr>
          <w:rFonts w:ascii="Microsoft JhengHei" w:eastAsia="Microsoft JhengHei" w:hint="eastAsia"/>
          <w:b/>
          <w:color w:val="333333"/>
          <w:spacing w:val="-10"/>
        </w:rPr>
        <w:t>三</w:t>
      </w:r>
      <w:r>
        <w:rPr>
          <w:rFonts w:ascii="Microsoft JhengHei" w:eastAsia="Microsoft JhengHei" w:hint="eastAsia"/>
          <w:b/>
          <w:color w:val="333333"/>
        </w:rPr>
        <w:t>条</w:t>
        <w:tab/>
      </w:r>
      <w:r>
        <w:rPr>
          <w:rFonts w:ascii="宋体" w:eastAsia="宋体" w:hint="eastAsia"/>
          <w:color w:val="333333"/>
          <w:spacing w:val="-12"/>
        </w:rPr>
        <w:t>下列范围的单位是消防安全重点单</w:t>
      </w:r>
      <w:r>
        <w:rPr>
          <w:rFonts w:ascii="宋体" w:eastAsia="宋体" w:hint="eastAsia"/>
          <w:color w:val="333333"/>
          <w:spacing w:val="-15"/>
        </w:rPr>
        <w:t>位，</w:t>
      </w:r>
      <w:r>
        <w:rPr>
          <w:rFonts w:ascii="宋体" w:eastAsia="宋体" w:hint="eastAsia"/>
          <w:color w:val="333333"/>
          <w:spacing w:val="-12"/>
        </w:rPr>
        <w:t>应当按</w:t>
      </w:r>
      <w:r>
        <w:rPr>
          <w:rFonts w:ascii="宋体" w:eastAsia="宋体" w:hint="eastAsia"/>
          <w:color w:val="333333"/>
          <w:spacing w:val="-28"/>
        </w:rPr>
        <w:t>照</w:t>
      </w:r>
      <w:r>
        <w:rPr>
          <w:rFonts w:ascii="宋体" w:eastAsia="宋体" w:hint="eastAsia"/>
          <w:color w:val="333333"/>
          <w:spacing w:val="-12"/>
        </w:rPr>
        <w:t>本规定的要求，实行严格管理：</w:t>
      </w:r>
    </w:p>
    <w:p>
      <w:pPr>
        <w:pStyle w:val="BodyText"/>
        <w:spacing w:line="312" w:lineRule="auto" w:before="70"/>
        <w:ind w:right="238" w:firstLine="420"/>
        <w:rPr>
          <w:rFonts w:ascii="宋体" w:eastAsia="宋体" w:hint="eastAsia"/>
        </w:rPr>
      </w:pPr>
      <w:r>
        <w:rPr>
          <w:rFonts w:ascii="宋体" w:eastAsia="宋体" w:hint="eastAsia"/>
          <w:color w:val="333333"/>
          <w:spacing w:val="-14"/>
        </w:rPr>
        <w:t>(一)商场(市场)、宾馆(饭店)、体育场(馆)、会堂、公共娱</w:t>
      </w:r>
      <w:r>
        <w:rPr>
          <w:rFonts w:ascii="宋体" w:eastAsia="宋体" w:hint="eastAsia"/>
          <w:color w:val="333333"/>
          <w:spacing w:val="-12"/>
        </w:rPr>
        <w:t>乐场所等公众聚集场所(以下统称公众聚集场所)；</w:t>
      </w:r>
    </w:p>
    <w:p>
      <w:pPr>
        <w:pStyle w:val="BodyText"/>
        <w:spacing w:line="312" w:lineRule="auto"/>
        <w:ind w:left="620" w:right="698"/>
        <w:rPr>
          <w:rFonts w:ascii="宋体" w:eastAsia="宋体" w:hint="eastAsia"/>
        </w:rPr>
      </w:pPr>
      <w:r>
        <w:rPr>
          <w:rFonts w:ascii="宋体" w:eastAsia="宋体" w:hint="eastAsia"/>
          <w:color w:val="333333"/>
          <w:spacing w:val="-13"/>
        </w:rPr>
        <w:t>(二)医院、养老院和寄宿制的学校、托儿所、幼儿园； </w:t>
      </w:r>
      <w:r>
        <w:rPr>
          <w:rFonts w:ascii="宋体" w:eastAsia="宋体" w:hint="eastAsia"/>
          <w:color w:val="333333"/>
          <w:spacing w:val="-12"/>
        </w:rPr>
        <w:t>(三)国家机关；</w:t>
      </w:r>
    </w:p>
    <w:p>
      <w:pPr>
        <w:pStyle w:val="BodyText"/>
        <w:spacing w:line="312" w:lineRule="auto" w:before="2"/>
        <w:ind w:left="620" w:right="1802"/>
        <w:rPr>
          <w:rFonts w:ascii="宋体" w:eastAsia="宋体" w:hint="eastAsia"/>
        </w:rPr>
      </w:pPr>
      <w:r>
        <w:rPr>
          <w:rFonts w:ascii="宋体" w:eastAsia="宋体" w:hint="eastAsia"/>
          <w:color w:val="333333"/>
          <w:spacing w:val="-13"/>
        </w:rPr>
        <w:t>(四)广播电台、电视台和邮政、通信枢纽； </w:t>
      </w:r>
      <w:r>
        <w:rPr>
          <w:rFonts w:ascii="宋体" w:eastAsia="宋体" w:hint="eastAsia"/>
          <w:color w:val="333333"/>
          <w:spacing w:val="-12"/>
        </w:rPr>
        <w:t>(五)客运车站、码头、民用机场；</w:t>
      </w:r>
    </w:p>
    <w:p>
      <w:pPr>
        <w:pStyle w:val="BodyText"/>
        <w:spacing w:line="314" w:lineRule="auto"/>
        <w:ind w:right="242" w:firstLine="420"/>
        <w:rPr>
          <w:rFonts w:ascii="宋体" w:eastAsia="宋体" w:hint="eastAsia"/>
        </w:rPr>
      </w:pPr>
      <w:r>
        <w:rPr>
          <w:rFonts w:ascii="宋体" w:eastAsia="宋体" w:hint="eastAsia"/>
          <w:color w:val="333333"/>
          <w:spacing w:val="-13"/>
        </w:rPr>
        <w:t>(六)公共图书馆、展览馆、博物馆、档案馆以及具有火灾危</w:t>
      </w:r>
      <w:r>
        <w:rPr>
          <w:rFonts w:ascii="宋体" w:eastAsia="宋体" w:hint="eastAsia"/>
          <w:color w:val="333333"/>
          <w:spacing w:val="-12"/>
        </w:rPr>
        <w:t>险性的文物保护单位；</w:t>
      </w:r>
    </w:p>
    <w:p>
      <w:pPr>
        <w:pStyle w:val="BodyText"/>
        <w:spacing w:line="302" w:lineRule="exact"/>
        <w:ind w:left="620"/>
        <w:rPr>
          <w:rFonts w:ascii="宋体" w:eastAsia="宋体" w:hint="eastAsia"/>
        </w:rPr>
      </w:pPr>
      <w:r>
        <w:rPr>
          <w:rFonts w:ascii="宋体" w:eastAsia="宋体" w:hint="eastAsia"/>
          <w:color w:val="333333"/>
        </w:rPr>
        <w:t>(七)发电厂(站)和电网经营企业；</w:t>
      </w:r>
    </w:p>
    <w:p>
      <w:pPr>
        <w:pStyle w:val="BodyText"/>
        <w:spacing w:line="312" w:lineRule="auto" w:before="93"/>
        <w:ind w:right="242" w:firstLine="420"/>
        <w:rPr>
          <w:rFonts w:ascii="宋体" w:eastAsia="宋体" w:hint="eastAsia"/>
        </w:rPr>
      </w:pPr>
      <w:r>
        <w:rPr>
          <w:rFonts w:ascii="宋体" w:eastAsia="宋体" w:hint="eastAsia"/>
          <w:color w:val="333333"/>
          <w:spacing w:val="-13"/>
        </w:rPr>
        <w:t>(八)易燃易爆化学物品的生产、充装、储存、供应、销售单</w:t>
      </w:r>
      <w:r>
        <w:rPr>
          <w:rFonts w:ascii="宋体" w:eastAsia="宋体" w:hint="eastAsia"/>
          <w:color w:val="333333"/>
          <w:spacing w:val="-12"/>
        </w:rPr>
        <w:t>位；</w:t>
      </w:r>
    </w:p>
    <w:p>
      <w:pPr>
        <w:spacing w:after="0" w:line="312" w:lineRule="auto"/>
        <w:rPr>
          <w:rFonts w:ascii="宋体" w:eastAsia="宋体" w:hint="eastAsia"/>
        </w:rPr>
        <w:sectPr>
          <w:pgSz w:w="8400" w:h="11910"/>
          <w:pgMar w:header="0" w:footer="870" w:top="1100" w:bottom="1060" w:left="820" w:right="780"/>
        </w:sectPr>
      </w:pPr>
    </w:p>
    <w:p>
      <w:pPr>
        <w:pStyle w:val="BodyText"/>
        <w:spacing w:line="312" w:lineRule="auto" w:before="127"/>
        <w:ind w:left="620" w:right="1382"/>
        <w:rPr>
          <w:rFonts w:ascii="宋体" w:eastAsia="宋体" w:hint="eastAsia"/>
        </w:rPr>
      </w:pPr>
      <w:r>
        <w:rPr>
          <w:rFonts w:ascii="宋体" w:eastAsia="宋体" w:hint="eastAsia"/>
          <w:color w:val="333333"/>
          <w:spacing w:val="-13"/>
        </w:rPr>
        <w:t>(九)服装、制鞋等劳动密集型生产、加工企业； </w:t>
      </w:r>
      <w:r>
        <w:rPr>
          <w:rFonts w:ascii="宋体" w:eastAsia="宋体" w:hint="eastAsia"/>
          <w:color w:val="333333"/>
          <w:spacing w:val="-12"/>
        </w:rPr>
        <w:t>(十)重要的科研单位；</w:t>
      </w:r>
    </w:p>
    <w:p>
      <w:pPr>
        <w:pStyle w:val="BodyText"/>
        <w:spacing w:line="312" w:lineRule="auto" w:before="2"/>
        <w:ind w:right="242" w:firstLine="420"/>
        <w:rPr>
          <w:rFonts w:ascii="宋体" w:eastAsia="宋体" w:hint="eastAsia"/>
        </w:rPr>
      </w:pPr>
      <w:r>
        <w:rPr>
          <w:rFonts w:ascii="宋体" w:eastAsia="宋体" w:hint="eastAsia"/>
          <w:color w:val="333333"/>
          <w:spacing w:val="-13"/>
        </w:rPr>
        <w:t>(十一)其他发生火灾可能性较大以及一旦发生火灾可能造成</w:t>
      </w:r>
      <w:r>
        <w:rPr>
          <w:rFonts w:ascii="宋体" w:eastAsia="宋体" w:hint="eastAsia"/>
          <w:color w:val="333333"/>
          <w:spacing w:val="-12"/>
        </w:rPr>
        <w:t>重大人身伤亡或者财产损失的单位。</w:t>
      </w:r>
    </w:p>
    <w:p>
      <w:pPr>
        <w:pStyle w:val="BodyText"/>
        <w:spacing w:line="312" w:lineRule="auto"/>
        <w:ind w:right="204" w:firstLine="420"/>
        <w:jc w:val="both"/>
        <w:rPr>
          <w:rFonts w:ascii="宋体" w:eastAsia="宋体" w:hint="eastAsia"/>
        </w:rPr>
      </w:pPr>
      <w:r>
        <w:rPr>
          <w:rFonts w:ascii="宋体" w:eastAsia="宋体" w:hint="eastAsia"/>
          <w:color w:val="333333"/>
          <w:spacing w:val="-13"/>
        </w:rPr>
        <w:t>高层办公楼(写字楼)、高层公寓楼等高层公共建筑，城市地</w:t>
      </w:r>
      <w:r>
        <w:rPr>
          <w:rFonts w:ascii="宋体" w:eastAsia="宋体" w:hint="eastAsia"/>
          <w:color w:val="333333"/>
          <w:spacing w:val="-14"/>
        </w:rPr>
        <w:t>下铁道、地下观光隧道等地下公共建筑和城市重要的交通隧道， </w:t>
      </w:r>
      <w:r>
        <w:rPr>
          <w:rFonts w:ascii="宋体" w:eastAsia="宋体" w:hint="eastAsia"/>
          <w:color w:val="333333"/>
          <w:spacing w:val="-17"/>
        </w:rPr>
        <w:t>粮、棉、木材、百货等物资集中的大型仓库和堆场，国家和省级</w:t>
      </w:r>
      <w:r>
        <w:rPr>
          <w:rFonts w:ascii="宋体" w:eastAsia="宋体" w:hint="eastAsia"/>
          <w:color w:val="333333"/>
          <w:spacing w:val="-16"/>
        </w:rPr>
        <w:t>等重点工程的施工现场，应当按照本规定对消防安全重点单位的要求，实行严格管理。</w:t>
      </w:r>
    </w:p>
    <w:p>
      <w:pPr>
        <w:pStyle w:val="BodyText"/>
        <w:spacing w:line="363" w:lineRule="exact"/>
        <w:ind w:left="620"/>
        <w:jc w:val="both"/>
        <w:rPr>
          <w:rFonts w:ascii="宋体" w:eastAsia="宋体" w:hint="eastAsia"/>
        </w:rPr>
      </w:pPr>
      <w:r>
        <w:rPr>
          <w:rFonts w:ascii="Microsoft JhengHei" w:eastAsia="Microsoft JhengHei" w:hint="eastAsia"/>
          <w:b/>
          <w:color w:val="333333"/>
        </w:rPr>
        <w:t>第十四条 </w:t>
      </w:r>
      <w:r>
        <w:rPr>
          <w:rFonts w:ascii="宋体" w:eastAsia="宋体" w:hint="eastAsia"/>
          <w:color w:val="333333"/>
        </w:rPr>
        <w:t>消防安全重点单位及其消防安全责任人、消防安</w:t>
      </w:r>
    </w:p>
    <w:p>
      <w:pPr>
        <w:pStyle w:val="BodyText"/>
        <w:spacing w:before="39"/>
        <w:rPr>
          <w:rFonts w:ascii="宋体" w:eastAsia="宋体" w:hint="eastAsia"/>
        </w:rPr>
      </w:pPr>
      <w:r>
        <w:rPr>
          <w:rFonts w:ascii="宋体" w:eastAsia="宋体" w:hint="eastAsia"/>
          <w:color w:val="333333"/>
        </w:rPr>
        <w:t>全管理人应当报当地公安消防机构备案。</w:t>
      </w:r>
    </w:p>
    <w:p>
      <w:pPr>
        <w:pStyle w:val="BodyText"/>
        <w:spacing w:line="259" w:lineRule="auto" w:before="14"/>
        <w:ind w:right="229" w:firstLine="420"/>
        <w:jc w:val="both"/>
        <w:rPr>
          <w:rFonts w:ascii="宋体" w:eastAsia="宋体" w:hint="eastAsia"/>
        </w:rPr>
      </w:pPr>
      <w:r>
        <w:rPr>
          <w:rFonts w:ascii="Microsoft JhengHei" w:eastAsia="Microsoft JhengHei" w:hint="eastAsia"/>
          <w:b/>
          <w:color w:val="333333"/>
          <w:spacing w:val="9"/>
        </w:rPr>
        <w:t>第十五条 </w:t>
      </w:r>
      <w:r>
        <w:rPr>
          <w:rFonts w:ascii="宋体" w:eastAsia="宋体" w:hint="eastAsia"/>
          <w:color w:val="333333"/>
          <w:spacing w:val="-4"/>
        </w:rPr>
        <w:t>消防安全重点单位应当设臵或者确定消防工作</w:t>
      </w:r>
      <w:r>
        <w:rPr>
          <w:rFonts w:ascii="宋体" w:eastAsia="宋体" w:hint="eastAsia"/>
          <w:color w:val="333333"/>
          <w:spacing w:val="-17"/>
        </w:rPr>
        <w:t>的归口管理职能部门，并确定专职或者兼职的消防管理人员；其</w:t>
      </w:r>
    </w:p>
    <w:p>
      <w:pPr>
        <w:pStyle w:val="BodyText"/>
        <w:spacing w:line="312" w:lineRule="auto" w:before="70"/>
        <w:ind w:right="235"/>
        <w:jc w:val="both"/>
        <w:rPr>
          <w:rFonts w:ascii="宋体" w:eastAsia="宋体" w:hint="eastAsia"/>
        </w:rPr>
      </w:pPr>
      <w:r>
        <w:rPr>
          <w:rFonts w:ascii="宋体" w:eastAsia="宋体" w:hint="eastAsia"/>
          <w:color w:val="333333"/>
          <w:spacing w:val="-15"/>
        </w:rPr>
        <w:t>他单位应当确定专职或者兼职消防管理人员，可以确定消防工作</w:t>
      </w:r>
      <w:r>
        <w:rPr>
          <w:rFonts w:ascii="宋体" w:eastAsia="宋体" w:hint="eastAsia"/>
          <w:color w:val="333333"/>
          <w:spacing w:val="-17"/>
        </w:rPr>
        <w:t>的归口管理职能部门。归口管理职能部门和专兼职消防管理人员</w:t>
      </w:r>
      <w:r>
        <w:rPr>
          <w:rFonts w:ascii="宋体" w:eastAsia="宋体" w:hint="eastAsia"/>
          <w:color w:val="333333"/>
          <w:spacing w:val="-6"/>
        </w:rPr>
        <w:t>在消防安全责任人或者消防安全管理人的领导下开展消防安全</w:t>
      </w:r>
      <w:r>
        <w:rPr>
          <w:rFonts w:ascii="宋体" w:eastAsia="宋体" w:hint="eastAsia"/>
          <w:color w:val="333333"/>
          <w:spacing w:val="-12"/>
        </w:rPr>
        <w:t>管理工作。</w:t>
      </w:r>
    </w:p>
    <w:p>
      <w:pPr>
        <w:spacing w:line="364" w:lineRule="exact" w:before="0"/>
        <w:ind w:left="620" w:right="0" w:firstLine="0"/>
        <w:jc w:val="both"/>
        <w:rPr>
          <w:rFonts w:ascii="宋体" w:eastAsia="宋体" w:hint="eastAsia"/>
          <w:sz w:val="24"/>
        </w:rPr>
      </w:pPr>
      <w:r>
        <w:rPr>
          <w:rFonts w:ascii="Microsoft JhengHei" w:eastAsia="Microsoft JhengHei" w:hint="eastAsia"/>
          <w:b/>
          <w:color w:val="333333"/>
          <w:sz w:val="24"/>
        </w:rPr>
        <w:t>第十六条 </w:t>
      </w:r>
      <w:r>
        <w:rPr>
          <w:rFonts w:ascii="宋体" w:eastAsia="宋体" w:hint="eastAsia"/>
          <w:color w:val="333333"/>
          <w:sz w:val="24"/>
        </w:rPr>
        <w:t>公众聚集场所应当在具备下列消防安全条件</w:t>
      </w:r>
    </w:p>
    <w:p>
      <w:pPr>
        <w:pStyle w:val="BodyText"/>
        <w:spacing w:line="312" w:lineRule="auto" w:before="36"/>
        <w:ind w:right="230"/>
        <w:rPr>
          <w:rFonts w:ascii="宋体" w:eastAsia="宋体" w:hint="eastAsia"/>
        </w:rPr>
      </w:pPr>
      <w:r>
        <w:rPr>
          <w:rFonts w:ascii="宋体" w:eastAsia="宋体" w:hint="eastAsia"/>
          <w:color w:val="333333"/>
          <w:spacing w:val="-19"/>
        </w:rPr>
        <w:t>后，向当地公安消防机构申报进行消防安全检查，经检查合格后</w:t>
      </w:r>
      <w:r>
        <w:rPr>
          <w:rFonts w:ascii="宋体" w:eastAsia="宋体" w:hint="eastAsia"/>
          <w:color w:val="333333"/>
          <w:spacing w:val="-12"/>
        </w:rPr>
        <w:t>方可开业使用：</w:t>
      </w:r>
    </w:p>
    <w:p>
      <w:pPr>
        <w:pStyle w:val="BodyText"/>
        <w:spacing w:line="312" w:lineRule="auto" w:before="3"/>
        <w:ind w:right="242" w:firstLine="420"/>
        <w:rPr>
          <w:rFonts w:ascii="宋体" w:eastAsia="宋体" w:hint="eastAsia"/>
        </w:rPr>
      </w:pPr>
      <w:r>
        <w:rPr>
          <w:rFonts w:ascii="宋体" w:eastAsia="宋体" w:hint="eastAsia"/>
          <w:color w:val="333333"/>
          <w:spacing w:val="-13"/>
        </w:rPr>
        <w:t>(一)依法办理建筑工程消防设计审核手续，并经消防验收合</w:t>
      </w:r>
      <w:r>
        <w:rPr>
          <w:rFonts w:ascii="宋体" w:eastAsia="宋体" w:hint="eastAsia"/>
          <w:color w:val="333333"/>
          <w:spacing w:val="-12"/>
        </w:rPr>
        <w:t>格；</w:t>
      </w:r>
    </w:p>
    <w:p>
      <w:pPr>
        <w:pStyle w:val="BodyText"/>
        <w:spacing w:line="307" w:lineRule="exact"/>
        <w:ind w:left="620"/>
        <w:rPr>
          <w:rFonts w:ascii="宋体" w:eastAsia="宋体" w:hint="eastAsia"/>
        </w:rPr>
      </w:pPr>
      <w:r>
        <w:rPr>
          <w:rFonts w:ascii="宋体" w:eastAsia="宋体" w:hint="eastAsia"/>
          <w:color w:val="333333"/>
        </w:rPr>
        <w:t>(二)建立健全消防安全组织，消防安全责任明确；</w:t>
      </w:r>
    </w:p>
    <w:p>
      <w:pPr>
        <w:pStyle w:val="BodyText"/>
        <w:spacing w:before="93"/>
        <w:ind w:left="620"/>
        <w:rPr>
          <w:rFonts w:ascii="宋体" w:eastAsia="宋体" w:hint="eastAsia"/>
        </w:rPr>
      </w:pPr>
      <w:r>
        <w:rPr>
          <w:rFonts w:ascii="宋体" w:eastAsia="宋体" w:hint="eastAsia"/>
          <w:color w:val="333333"/>
        </w:rPr>
        <w:t>(三)建立消防安全管理制度和保障消防安全的操作规程；</w:t>
      </w:r>
    </w:p>
    <w:p>
      <w:pPr>
        <w:spacing w:after="0"/>
        <w:rPr>
          <w:rFonts w:ascii="宋体" w:eastAsia="宋体" w:hint="eastAsia"/>
        </w:rPr>
        <w:sectPr>
          <w:pgSz w:w="8400" w:h="11910"/>
          <w:pgMar w:header="0" w:footer="870" w:top="1100" w:bottom="1060" w:left="820" w:right="780"/>
        </w:sectPr>
      </w:pPr>
    </w:p>
    <w:p>
      <w:pPr>
        <w:pStyle w:val="BodyText"/>
        <w:spacing w:before="127"/>
        <w:ind w:left="620"/>
        <w:rPr>
          <w:rFonts w:ascii="宋体" w:eastAsia="宋体" w:hint="eastAsia"/>
        </w:rPr>
      </w:pPr>
      <w:r>
        <w:rPr>
          <w:rFonts w:ascii="宋体" w:eastAsia="宋体" w:hint="eastAsia"/>
          <w:color w:val="333333"/>
        </w:rPr>
        <w:t>(四)员工经过消防安全培训；</w:t>
      </w:r>
    </w:p>
    <w:p>
      <w:pPr>
        <w:pStyle w:val="BodyText"/>
        <w:spacing w:line="312" w:lineRule="auto" w:before="94"/>
        <w:ind w:left="620" w:right="2522"/>
        <w:rPr>
          <w:rFonts w:ascii="宋体" w:eastAsia="宋体" w:hint="eastAsia"/>
        </w:rPr>
      </w:pPr>
      <w:r>
        <w:rPr>
          <w:rFonts w:ascii="宋体" w:eastAsia="宋体" w:hint="eastAsia"/>
          <w:color w:val="333333"/>
          <w:spacing w:val="-13"/>
        </w:rPr>
        <w:t>(五)建筑消防设施齐全、完好有效； </w:t>
      </w:r>
      <w:r>
        <w:rPr>
          <w:rFonts w:ascii="宋体" w:eastAsia="宋体" w:hint="eastAsia"/>
          <w:color w:val="333333"/>
          <w:spacing w:val="-12"/>
        </w:rPr>
        <w:t>(六)制定灭火和应急疏散预案。</w:t>
      </w:r>
    </w:p>
    <w:p>
      <w:pPr>
        <w:pStyle w:val="BodyText"/>
        <w:tabs>
          <w:tab w:pos="1765" w:val="left" w:leader="none"/>
        </w:tabs>
        <w:spacing w:line="362" w:lineRule="exact"/>
        <w:ind w:left="620"/>
        <w:rPr>
          <w:rFonts w:ascii="宋体" w:eastAsia="宋体" w:hint="eastAsia"/>
        </w:rPr>
      </w:pPr>
      <w:r>
        <w:rPr>
          <w:rFonts w:ascii="Microsoft JhengHei" w:eastAsia="Microsoft JhengHei" w:hint="eastAsia"/>
          <w:b/>
          <w:color w:val="333333"/>
          <w:spacing w:val="-12"/>
        </w:rPr>
        <w:t>第十</w:t>
      </w:r>
      <w:r>
        <w:rPr>
          <w:rFonts w:ascii="Microsoft JhengHei" w:eastAsia="Microsoft JhengHei" w:hint="eastAsia"/>
          <w:b/>
          <w:color w:val="333333"/>
          <w:spacing w:val="-10"/>
        </w:rPr>
        <w:t>七</w:t>
      </w:r>
      <w:r>
        <w:rPr>
          <w:rFonts w:ascii="Microsoft JhengHei" w:eastAsia="Microsoft JhengHei" w:hint="eastAsia"/>
          <w:b/>
          <w:color w:val="333333"/>
        </w:rPr>
        <w:t>条</w:t>
        <w:tab/>
      </w:r>
      <w:r>
        <w:rPr>
          <w:rFonts w:ascii="宋体" w:eastAsia="宋体" w:hint="eastAsia"/>
          <w:color w:val="333333"/>
          <w:spacing w:val="-12"/>
        </w:rPr>
        <w:t>举办集</w:t>
      </w:r>
      <w:r>
        <w:rPr>
          <w:rFonts w:ascii="宋体" w:eastAsia="宋体" w:hint="eastAsia"/>
          <w:color w:val="333333"/>
          <w:spacing w:val="-15"/>
        </w:rPr>
        <w:t>会</w:t>
      </w:r>
      <w:r>
        <w:rPr>
          <w:rFonts w:ascii="宋体" w:eastAsia="宋体" w:hint="eastAsia"/>
          <w:color w:val="333333"/>
          <w:spacing w:val="-12"/>
        </w:rPr>
        <w:t>、焰火晚</w:t>
      </w:r>
      <w:r>
        <w:rPr>
          <w:rFonts w:ascii="宋体" w:eastAsia="宋体" w:hint="eastAsia"/>
          <w:color w:val="333333"/>
          <w:spacing w:val="-15"/>
        </w:rPr>
        <w:t>会</w:t>
      </w:r>
      <w:r>
        <w:rPr>
          <w:rFonts w:ascii="宋体" w:eastAsia="宋体" w:hint="eastAsia"/>
          <w:color w:val="333333"/>
          <w:spacing w:val="-12"/>
        </w:rPr>
        <w:t>、灯会等具</w:t>
      </w:r>
      <w:r>
        <w:rPr>
          <w:rFonts w:ascii="宋体" w:eastAsia="宋体" w:hint="eastAsia"/>
          <w:color w:val="333333"/>
          <w:spacing w:val="-10"/>
        </w:rPr>
        <w:t>有</w:t>
      </w:r>
      <w:r>
        <w:rPr>
          <w:rFonts w:ascii="宋体" w:eastAsia="宋体" w:hint="eastAsia"/>
          <w:color w:val="333333"/>
          <w:spacing w:val="-12"/>
        </w:rPr>
        <w:t>火灾危险的</w:t>
      </w:r>
      <w:r>
        <w:rPr>
          <w:rFonts w:ascii="宋体" w:eastAsia="宋体" w:hint="eastAsia"/>
          <w:color w:val="333333"/>
        </w:rPr>
        <w:t>大</w:t>
      </w:r>
    </w:p>
    <w:p>
      <w:pPr>
        <w:pStyle w:val="BodyText"/>
        <w:spacing w:line="312" w:lineRule="auto" w:before="38"/>
        <w:ind w:right="230"/>
        <w:jc w:val="both"/>
        <w:rPr>
          <w:rFonts w:ascii="宋体" w:eastAsia="宋体" w:hint="eastAsia"/>
        </w:rPr>
      </w:pPr>
      <w:r>
        <w:rPr>
          <w:rFonts w:ascii="宋体" w:eastAsia="宋体" w:hint="eastAsia"/>
          <w:color w:val="333333"/>
          <w:spacing w:val="-19"/>
        </w:rPr>
        <w:t>型活动，主办或者承办单位应当在具备消防安全条件后，向公安</w:t>
      </w:r>
      <w:r>
        <w:rPr>
          <w:rFonts w:ascii="宋体" w:eastAsia="宋体" w:hint="eastAsia"/>
          <w:color w:val="333333"/>
          <w:spacing w:val="-14"/>
        </w:rPr>
        <w:t>消防机构申报对活动现场进行消防安全检查，经检查合格后方可举办。</w:t>
      </w:r>
    </w:p>
    <w:p>
      <w:pPr>
        <w:pStyle w:val="BodyText"/>
        <w:tabs>
          <w:tab w:pos="1811" w:val="left" w:leader="none"/>
        </w:tabs>
        <w:spacing w:line="363" w:lineRule="exact"/>
        <w:ind w:left="620"/>
        <w:rPr>
          <w:rFonts w:ascii="宋体" w:eastAsia="宋体" w:hint="eastAsia"/>
        </w:rPr>
      </w:pPr>
      <w:r>
        <w:rPr>
          <w:rFonts w:ascii="Microsoft JhengHei" w:eastAsia="Microsoft JhengHei" w:hint="eastAsia"/>
          <w:b/>
          <w:color w:val="333333"/>
          <w:spacing w:val="-3"/>
        </w:rPr>
        <w:t>第十八</w:t>
      </w:r>
      <w:r>
        <w:rPr>
          <w:rFonts w:ascii="Microsoft JhengHei" w:eastAsia="Microsoft JhengHei" w:hint="eastAsia"/>
          <w:b/>
          <w:color w:val="333333"/>
        </w:rPr>
        <w:t>条</w:t>
        <w:tab/>
      </w:r>
      <w:r>
        <w:rPr>
          <w:rFonts w:ascii="宋体" w:eastAsia="宋体" w:hint="eastAsia"/>
          <w:color w:val="333333"/>
          <w:spacing w:val="-3"/>
        </w:rPr>
        <w:t>单位应当按照国家有关</w:t>
      </w:r>
      <w:r>
        <w:rPr>
          <w:rFonts w:ascii="宋体" w:eastAsia="宋体" w:hint="eastAsia"/>
          <w:color w:val="333333"/>
          <w:spacing w:val="-5"/>
        </w:rPr>
        <w:t>规</w:t>
      </w:r>
      <w:r>
        <w:rPr>
          <w:rFonts w:ascii="宋体" w:eastAsia="宋体" w:hint="eastAsia"/>
          <w:color w:val="333333"/>
          <w:spacing w:val="-3"/>
        </w:rPr>
        <w:t>定，结合本单位的特</w:t>
      </w:r>
    </w:p>
    <w:p>
      <w:pPr>
        <w:pStyle w:val="BodyText"/>
        <w:spacing w:line="312" w:lineRule="auto" w:before="39"/>
        <w:ind w:right="230"/>
        <w:rPr>
          <w:rFonts w:ascii="宋体" w:eastAsia="宋体" w:hint="eastAsia"/>
        </w:rPr>
      </w:pPr>
      <w:r>
        <w:rPr>
          <w:rFonts w:ascii="宋体" w:eastAsia="宋体" w:hint="eastAsia"/>
          <w:color w:val="333333"/>
          <w:spacing w:val="-19"/>
        </w:rPr>
        <w:t>点，建立健全各项消防安全制度和保障消防安全的操作规程，并</w:t>
      </w:r>
      <w:r>
        <w:rPr>
          <w:rFonts w:ascii="宋体" w:eastAsia="宋体" w:hint="eastAsia"/>
          <w:color w:val="333333"/>
          <w:spacing w:val="-12"/>
        </w:rPr>
        <w:t>公布执行。</w:t>
      </w:r>
    </w:p>
    <w:p>
      <w:pPr>
        <w:pStyle w:val="BodyText"/>
        <w:spacing w:line="312" w:lineRule="auto"/>
        <w:ind w:right="172" w:firstLine="420"/>
        <w:jc w:val="both"/>
        <w:rPr>
          <w:rFonts w:ascii="宋体" w:eastAsia="宋体" w:hint="eastAsia"/>
        </w:rPr>
      </w:pPr>
      <w:r>
        <w:rPr>
          <w:rFonts w:ascii="宋体" w:eastAsia="宋体" w:hint="eastAsia"/>
          <w:color w:val="333333"/>
          <w:spacing w:val="-23"/>
        </w:rPr>
        <w:t>单位消防安全制度主要包括以下内容：消防安全教育、培训； </w:t>
      </w:r>
      <w:r>
        <w:rPr>
          <w:rFonts w:ascii="宋体" w:eastAsia="宋体" w:hint="eastAsia"/>
          <w:color w:val="333333"/>
          <w:spacing w:val="-17"/>
        </w:rPr>
        <w:t>防火巡查、检查；安全疏散设施管理；消防(控制室)值班；消防设施、器材维护管理；火灾隐患整改；用火、用电安全管理；易</w:t>
      </w:r>
      <w:r>
        <w:rPr>
          <w:rFonts w:ascii="宋体" w:eastAsia="宋体" w:hint="eastAsia"/>
          <w:color w:val="333333"/>
          <w:spacing w:val="-5"/>
        </w:rPr>
        <w:t>燃易爆危险物品和场所防火防爆；专职和义务消防队的组织管</w:t>
      </w:r>
      <w:r>
        <w:rPr>
          <w:rFonts w:ascii="宋体" w:eastAsia="宋体" w:hint="eastAsia"/>
          <w:color w:val="333333"/>
          <w:spacing w:val="-26"/>
        </w:rPr>
        <w:t>理；灭火和应急疏散预案演练；燃气和电气设备的检查和管理(包</w:t>
      </w:r>
      <w:r>
        <w:rPr>
          <w:rFonts w:ascii="宋体" w:eastAsia="宋体" w:hint="eastAsia"/>
          <w:color w:val="333333"/>
          <w:spacing w:val="-10"/>
        </w:rPr>
        <w:t>括防雷、防静电)；消防安全工作考评和奖惩；其他必要的消防安全内容。</w:t>
      </w:r>
    </w:p>
    <w:p>
      <w:pPr>
        <w:pStyle w:val="BodyText"/>
        <w:spacing w:line="365" w:lineRule="exact"/>
        <w:ind w:left="658"/>
        <w:jc w:val="both"/>
        <w:rPr>
          <w:rFonts w:ascii="宋体" w:eastAsia="宋体" w:hint="eastAsia"/>
        </w:rPr>
      </w:pPr>
      <w:r>
        <w:rPr>
          <w:rFonts w:ascii="Microsoft JhengHei" w:eastAsia="Microsoft JhengHei" w:hint="eastAsia"/>
          <w:b/>
          <w:color w:val="333333"/>
        </w:rPr>
        <w:t>第十九条 </w:t>
      </w:r>
      <w:r>
        <w:rPr>
          <w:rFonts w:ascii="宋体" w:eastAsia="宋体" w:hint="eastAsia"/>
          <w:color w:val="333333"/>
        </w:rPr>
        <w:t>单位应当将容易发生火灾、一旦发生火灾可能严</w:t>
      </w:r>
    </w:p>
    <w:p>
      <w:pPr>
        <w:pStyle w:val="BodyText"/>
        <w:spacing w:line="312" w:lineRule="auto" w:before="36"/>
        <w:ind w:right="235"/>
        <w:rPr>
          <w:rFonts w:ascii="宋体" w:eastAsia="宋体" w:hint="eastAsia"/>
        </w:rPr>
      </w:pPr>
      <w:r>
        <w:rPr>
          <w:rFonts w:ascii="宋体" w:eastAsia="宋体" w:hint="eastAsia"/>
          <w:color w:val="333333"/>
          <w:spacing w:val="-6"/>
        </w:rPr>
        <w:t>重危及人身和财产安全以及对消防安全有重大影响的部位确定</w:t>
      </w:r>
      <w:r>
        <w:rPr>
          <w:rFonts w:ascii="宋体" w:eastAsia="宋体" w:hint="eastAsia"/>
          <w:color w:val="333333"/>
          <w:spacing w:val="-12"/>
        </w:rPr>
        <w:t>为消防安全重点部位，设臵明显的防火标志，实行严格管理。</w:t>
      </w:r>
    </w:p>
    <w:p>
      <w:pPr>
        <w:tabs>
          <w:tab w:pos="1895" w:val="left" w:leader="none"/>
        </w:tabs>
        <w:spacing w:line="382" w:lineRule="exact" w:before="0"/>
        <w:ind w:left="658" w:right="0" w:firstLine="0"/>
        <w:jc w:val="left"/>
        <w:rPr>
          <w:rFonts w:ascii="宋体" w:eastAsia="宋体" w:hint="eastAsia"/>
          <w:sz w:val="24"/>
        </w:rPr>
      </w:pPr>
      <w:r>
        <w:rPr>
          <w:rFonts w:ascii="Microsoft JhengHei" w:eastAsia="Microsoft JhengHei" w:hint="eastAsia"/>
          <w:b/>
          <w:color w:val="333333"/>
          <w:spacing w:val="7"/>
          <w:sz w:val="24"/>
        </w:rPr>
        <w:t>第二十</w:t>
      </w:r>
      <w:r>
        <w:rPr>
          <w:rFonts w:ascii="Microsoft JhengHei" w:eastAsia="Microsoft JhengHei" w:hint="eastAsia"/>
          <w:b/>
          <w:color w:val="333333"/>
          <w:sz w:val="24"/>
        </w:rPr>
        <w:t>条</w:t>
        <w:tab/>
      </w:r>
      <w:r>
        <w:rPr>
          <w:rFonts w:ascii="宋体" w:eastAsia="宋体" w:hint="eastAsia"/>
          <w:color w:val="333333"/>
          <w:spacing w:val="4"/>
          <w:sz w:val="24"/>
        </w:rPr>
        <w:t>单位</w:t>
      </w:r>
      <w:r>
        <w:rPr>
          <w:rFonts w:ascii="宋体" w:eastAsia="宋体" w:hint="eastAsia"/>
          <w:color w:val="333333"/>
          <w:spacing w:val="6"/>
          <w:sz w:val="24"/>
        </w:rPr>
        <w:t>应当</w:t>
      </w:r>
      <w:r>
        <w:rPr>
          <w:rFonts w:ascii="宋体" w:eastAsia="宋体" w:hint="eastAsia"/>
          <w:color w:val="333333"/>
          <w:spacing w:val="4"/>
          <w:sz w:val="24"/>
        </w:rPr>
        <w:t>对</w:t>
      </w:r>
      <w:r>
        <w:rPr>
          <w:rFonts w:ascii="宋体" w:eastAsia="宋体" w:hint="eastAsia"/>
          <w:color w:val="333333"/>
          <w:spacing w:val="6"/>
          <w:sz w:val="24"/>
        </w:rPr>
        <w:t>动</w:t>
      </w:r>
      <w:r>
        <w:rPr>
          <w:rFonts w:ascii="宋体" w:eastAsia="宋体" w:hint="eastAsia"/>
          <w:color w:val="333333"/>
          <w:spacing w:val="4"/>
          <w:sz w:val="24"/>
        </w:rPr>
        <w:t>用</w:t>
      </w:r>
      <w:r>
        <w:rPr>
          <w:rFonts w:ascii="宋体" w:eastAsia="宋体" w:hint="eastAsia"/>
          <w:color w:val="333333"/>
          <w:spacing w:val="6"/>
          <w:sz w:val="24"/>
        </w:rPr>
        <w:t>明</w:t>
      </w:r>
      <w:r>
        <w:rPr>
          <w:rFonts w:ascii="宋体" w:eastAsia="宋体" w:hint="eastAsia"/>
          <w:color w:val="333333"/>
          <w:spacing w:val="4"/>
          <w:sz w:val="24"/>
        </w:rPr>
        <w:t>火</w:t>
      </w:r>
      <w:r>
        <w:rPr>
          <w:rFonts w:ascii="宋体" w:eastAsia="宋体" w:hint="eastAsia"/>
          <w:color w:val="333333"/>
          <w:spacing w:val="6"/>
          <w:sz w:val="24"/>
        </w:rPr>
        <w:t>实</w:t>
      </w:r>
      <w:r>
        <w:rPr>
          <w:rFonts w:ascii="宋体" w:eastAsia="宋体" w:hint="eastAsia"/>
          <w:color w:val="333333"/>
          <w:spacing w:val="4"/>
          <w:sz w:val="24"/>
        </w:rPr>
        <w:t>行</w:t>
      </w:r>
      <w:r>
        <w:rPr>
          <w:rFonts w:ascii="宋体" w:eastAsia="宋体" w:hint="eastAsia"/>
          <w:color w:val="333333"/>
          <w:spacing w:val="6"/>
          <w:sz w:val="24"/>
        </w:rPr>
        <w:t>严格</w:t>
      </w:r>
      <w:r>
        <w:rPr>
          <w:rFonts w:ascii="宋体" w:eastAsia="宋体" w:hint="eastAsia"/>
          <w:color w:val="333333"/>
          <w:spacing w:val="4"/>
          <w:sz w:val="24"/>
        </w:rPr>
        <w:t>的</w:t>
      </w:r>
      <w:r>
        <w:rPr>
          <w:rFonts w:ascii="宋体" w:eastAsia="宋体" w:hint="eastAsia"/>
          <w:color w:val="333333"/>
          <w:spacing w:val="6"/>
          <w:sz w:val="24"/>
        </w:rPr>
        <w:t>消</w:t>
      </w:r>
      <w:r>
        <w:rPr>
          <w:rFonts w:ascii="宋体" w:eastAsia="宋体" w:hint="eastAsia"/>
          <w:color w:val="333333"/>
          <w:spacing w:val="4"/>
          <w:sz w:val="24"/>
        </w:rPr>
        <w:t>防</w:t>
      </w:r>
      <w:r>
        <w:rPr>
          <w:rFonts w:ascii="宋体" w:eastAsia="宋体" w:hint="eastAsia"/>
          <w:color w:val="333333"/>
          <w:spacing w:val="6"/>
          <w:sz w:val="24"/>
        </w:rPr>
        <w:t>安全</w:t>
      </w:r>
      <w:r>
        <w:rPr>
          <w:rFonts w:ascii="宋体" w:eastAsia="宋体" w:hint="eastAsia"/>
          <w:color w:val="333333"/>
          <w:sz w:val="24"/>
        </w:rPr>
        <w:t>管</w:t>
      </w:r>
    </w:p>
    <w:p>
      <w:pPr>
        <w:pStyle w:val="BodyText"/>
        <w:spacing w:line="328" w:lineRule="auto" w:before="58"/>
        <w:ind w:right="227"/>
        <w:rPr>
          <w:rFonts w:ascii="宋体" w:eastAsia="宋体" w:hint="eastAsia"/>
        </w:rPr>
      </w:pPr>
      <w:r>
        <w:rPr>
          <w:rFonts w:ascii="宋体" w:eastAsia="宋体" w:hint="eastAsia"/>
          <w:color w:val="333333"/>
          <w:spacing w:val="-18"/>
        </w:rPr>
        <w:t>理。禁止在具有火灾、爆炸危险的场所使用明火；因特殊情况需</w:t>
      </w:r>
      <w:r>
        <w:rPr>
          <w:rFonts w:ascii="宋体" w:eastAsia="宋体" w:hint="eastAsia"/>
          <w:color w:val="333333"/>
          <w:spacing w:val="-19"/>
        </w:rPr>
        <w:t>要进行电、气焊等明火作业的，动火部门和人员应当按照单位的</w:t>
      </w:r>
    </w:p>
    <w:p>
      <w:pPr>
        <w:spacing w:after="0" w:line="328" w:lineRule="auto"/>
        <w:rPr>
          <w:rFonts w:ascii="宋体" w:eastAsia="宋体" w:hint="eastAsia"/>
        </w:rPr>
        <w:sectPr>
          <w:pgSz w:w="8400" w:h="11910"/>
          <w:pgMar w:header="0" w:footer="870" w:top="1100" w:bottom="1060" w:left="820" w:right="780"/>
        </w:sectPr>
      </w:pPr>
    </w:p>
    <w:p>
      <w:pPr>
        <w:pStyle w:val="BodyText"/>
        <w:spacing w:line="328" w:lineRule="auto" w:before="144"/>
        <w:ind w:right="206"/>
        <w:jc w:val="both"/>
        <w:rPr>
          <w:rFonts w:ascii="宋体" w:eastAsia="宋体" w:hint="eastAsia"/>
        </w:rPr>
      </w:pPr>
      <w:r>
        <w:rPr>
          <w:rFonts w:ascii="宋体" w:eastAsia="宋体" w:hint="eastAsia"/>
          <w:color w:val="333333"/>
          <w:spacing w:val="-13"/>
        </w:rPr>
        <w:t>用火管理制度办理审批手续，落实现场监护人，在确认无火灾、</w:t>
      </w:r>
      <w:r>
        <w:rPr>
          <w:rFonts w:ascii="宋体" w:eastAsia="宋体" w:hint="eastAsia"/>
          <w:color w:val="333333"/>
          <w:spacing w:val="-5"/>
        </w:rPr>
        <w:t>爆炸危险后方可动火施工。动火施工人员应当遵守消防安全规</w:t>
      </w:r>
      <w:r>
        <w:rPr>
          <w:rFonts w:ascii="宋体" w:eastAsia="宋体" w:hint="eastAsia"/>
          <w:color w:val="333333"/>
          <w:spacing w:val="-12"/>
        </w:rPr>
        <w:t>定，并落实相应的消防安全措施。</w:t>
      </w:r>
    </w:p>
    <w:p>
      <w:pPr>
        <w:pStyle w:val="BodyText"/>
        <w:spacing w:line="328" w:lineRule="auto"/>
        <w:ind w:right="206" w:firstLine="456"/>
        <w:jc w:val="both"/>
        <w:rPr>
          <w:rFonts w:ascii="宋体" w:eastAsia="宋体" w:hint="eastAsia"/>
        </w:rPr>
      </w:pPr>
      <w:r>
        <w:rPr>
          <w:rFonts w:ascii="宋体" w:eastAsia="宋体" w:hint="eastAsia"/>
          <w:color w:val="333333"/>
          <w:spacing w:val="-5"/>
        </w:rPr>
        <w:t>公众聚集场所或者两个以上单位共同使用的建筑物局部施</w:t>
      </w:r>
      <w:r>
        <w:rPr>
          <w:rFonts w:ascii="宋体" w:eastAsia="宋体" w:hint="eastAsia"/>
          <w:color w:val="333333"/>
          <w:spacing w:val="-17"/>
        </w:rPr>
        <w:t>工需要使用明火时，施工单位和使用单位应当共同采取措施，将</w:t>
      </w:r>
      <w:r>
        <w:rPr>
          <w:rFonts w:ascii="宋体" w:eastAsia="宋体" w:hint="eastAsia"/>
          <w:color w:val="333333"/>
          <w:spacing w:val="-13"/>
        </w:rPr>
        <w:t>施工区和使用区进行防火分隔，清除动火区域的易燃、可燃物， </w:t>
      </w:r>
      <w:r>
        <w:rPr>
          <w:rFonts w:ascii="宋体" w:eastAsia="宋体" w:hint="eastAsia"/>
          <w:color w:val="333333"/>
          <w:spacing w:val="-12"/>
        </w:rPr>
        <w:t>配臵消防器材，专人监护，保证施工及使用范围的消防安全。</w:t>
      </w:r>
    </w:p>
    <w:p>
      <w:pPr>
        <w:pStyle w:val="BodyText"/>
        <w:spacing w:line="303" w:lineRule="exact"/>
        <w:ind w:left="656"/>
        <w:rPr>
          <w:rFonts w:ascii="宋体" w:eastAsia="宋体" w:hint="eastAsia"/>
        </w:rPr>
      </w:pPr>
      <w:r>
        <w:rPr>
          <w:rFonts w:ascii="宋体" w:eastAsia="宋体" w:hint="eastAsia"/>
          <w:color w:val="333333"/>
          <w:spacing w:val="-12"/>
        </w:rPr>
        <w:t>公共娱乐场所在营业期间禁止动火施工。</w:t>
      </w:r>
    </w:p>
    <w:p>
      <w:pPr>
        <w:pStyle w:val="BodyText"/>
        <w:spacing w:line="420" w:lineRule="exact" w:before="13"/>
        <w:ind w:right="227" w:firstLine="458"/>
        <w:jc w:val="both"/>
        <w:rPr>
          <w:rFonts w:ascii="宋体" w:eastAsia="宋体" w:hint="eastAsia"/>
        </w:rPr>
      </w:pPr>
      <w:r>
        <w:rPr>
          <w:rFonts w:ascii="Microsoft JhengHei" w:eastAsia="Microsoft JhengHei" w:hint="eastAsia"/>
          <w:b/>
          <w:color w:val="333333"/>
          <w:spacing w:val="-2"/>
        </w:rPr>
        <w:t>第二十一条 </w:t>
      </w:r>
      <w:r>
        <w:rPr>
          <w:rFonts w:ascii="宋体" w:eastAsia="宋体" w:hint="eastAsia"/>
          <w:color w:val="333333"/>
          <w:spacing w:val="-17"/>
        </w:rPr>
        <w:t>单位应当保障疏散通道、安全出口畅通，并设</w:t>
      </w:r>
      <w:r>
        <w:rPr>
          <w:rFonts w:ascii="宋体" w:eastAsia="宋体" w:hint="eastAsia"/>
          <w:color w:val="333333"/>
          <w:spacing w:val="-19"/>
        </w:rPr>
        <w:t>臵符合国家规定的消防安全疏散指示标志和应急照明设施，保持</w:t>
      </w:r>
      <w:r>
        <w:rPr>
          <w:rFonts w:ascii="宋体" w:eastAsia="宋体" w:hint="eastAsia"/>
          <w:color w:val="333333"/>
          <w:spacing w:val="-17"/>
        </w:rPr>
        <w:t>防火门、防火卷帘、消防安全疏散指示标志、应急照明、机械排</w:t>
      </w:r>
      <w:r>
        <w:rPr>
          <w:rFonts w:ascii="宋体" w:eastAsia="宋体" w:hint="eastAsia"/>
          <w:color w:val="333333"/>
          <w:spacing w:val="-12"/>
        </w:rPr>
        <w:t>烟送风、火灾事故广播等设施处于正常状态。</w:t>
      </w:r>
    </w:p>
    <w:p>
      <w:pPr>
        <w:pStyle w:val="BodyText"/>
        <w:spacing w:before="96"/>
        <w:ind w:left="656"/>
        <w:rPr>
          <w:rFonts w:ascii="宋体" w:eastAsia="宋体" w:hint="eastAsia"/>
        </w:rPr>
      </w:pPr>
      <w:r>
        <w:rPr>
          <w:rFonts w:ascii="宋体" w:eastAsia="宋体" w:hint="eastAsia"/>
          <w:color w:val="333333"/>
        </w:rPr>
        <w:t>严禁下列行为：</w:t>
      </w:r>
    </w:p>
    <w:p>
      <w:pPr>
        <w:pStyle w:val="BodyText"/>
        <w:spacing w:before="113"/>
        <w:ind w:left="656"/>
        <w:rPr>
          <w:rFonts w:ascii="宋体" w:eastAsia="宋体" w:hint="eastAsia"/>
        </w:rPr>
      </w:pPr>
      <w:r>
        <w:rPr>
          <w:rFonts w:ascii="宋体" w:eastAsia="宋体" w:hint="eastAsia"/>
          <w:color w:val="333333"/>
        </w:rPr>
        <w:t>(一)占用疏散通道；</w:t>
      </w:r>
    </w:p>
    <w:p>
      <w:pPr>
        <w:pStyle w:val="BodyText"/>
        <w:spacing w:line="328" w:lineRule="auto" w:before="112"/>
        <w:ind w:right="230" w:firstLine="456"/>
        <w:rPr>
          <w:rFonts w:ascii="宋体" w:eastAsia="宋体" w:hint="eastAsia"/>
        </w:rPr>
      </w:pPr>
      <w:r>
        <w:rPr>
          <w:rFonts w:ascii="宋体" w:eastAsia="宋体" w:hint="eastAsia"/>
          <w:color w:val="333333"/>
          <w:spacing w:val="-6"/>
        </w:rPr>
        <w:t>(二)在安全出口或者疏散通道上安装栅栏等影响疏散的障</w:t>
      </w:r>
      <w:r>
        <w:rPr>
          <w:rFonts w:ascii="宋体" w:eastAsia="宋体" w:hint="eastAsia"/>
          <w:color w:val="333333"/>
          <w:spacing w:val="-8"/>
        </w:rPr>
        <w:t>碍物；</w:t>
      </w:r>
    </w:p>
    <w:p>
      <w:pPr>
        <w:pStyle w:val="BodyText"/>
        <w:spacing w:line="328" w:lineRule="auto"/>
        <w:ind w:right="227" w:firstLine="456"/>
        <w:rPr>
          <w:rFonts w:ascii="宋体" w:eastAsia="宋体" w:hint="eastAsia"/>
        </w:rPr>
      </w:pPr>
      <w:r>
        <w:rPr>
          <w:rFonts w:ascii="宋体" w:eastAsia="宋体" w:hint="eastAsia"/>
          <w:color w:val="333333"/>
          <w:spacing w:val="-17"/>
        </w:rPr>
        <w:t>(三)在营业、生产、教学、工作等期间将安全出口上锁、遮</w:t>
      </w:r>
      <w:r>
        <w:rPr>
          <w:rFonts w:ascii="宋体" w:eastAsia="宋体" w:hint="eastAsia"/>
          <w:color w:val="333333"/>
          <w:spacing w:val="-12"/>
        </w:rPr>
        <w:t>挡或者将消防安全疏散指示标志遮挡、覆盖；</w:t>
      </w:r>
    </w:p>
    <w:p>
      <w:pPr>
        <w:pStyle w:val="BodyText"/>
        <w:spacing w:line="305" w:lineRule="exact"/>
        <w:ind w:left="656"/>
        <w:rPr>
          <w:rFonts w:ascii="宋体" w:eastAsia="宋体" w:hint="eastAsia"/>
        </w:rPr>
      </w:pPr>
      <w:r>
        <w:rPr>
          <w:rFonts w:ascii="宋体" w:eastAsia="宋体" w:hint="eastAsia"/>
          <w:color w:val="333333"/>
        </w:rPr>
        <w:t>(四)其他影响安全疏散的行为。</w:t>
      </w:r>
    </w:p>
    <w:p>
      <w:pPr>
        <w:pStyle w:val="BodyText"/>
        <w:spacing w:line="400" w:lineRule="exact" w:before="14"/>
        <w:ind w:right="227" w:firstLine="458"/>
        <w:jc w:val="both"/>
        <w:rPr>
          <w:rFonts w:ascii="宋体" w:eastAsia="宋体" w:hint="eastAsia"/>
        </w:rPr>
      </w:pPr>
      <w:r>
        <w:rPr>
          <w:rFonts w:ascii="Microsoft JhengHei" w:eastAsia="Microsoft JhengHei" w:hint="eastAsia"/>
          <w:b/>
          <w:color w:val="333333"/>
          <w:spacing w:val="-2"/>
        </w:rPr>
        <w:t>第二十二条 </w:t>
      </w:r>
      <w:r>
        <w:rPr>
          <w:rFonts w:ascii="宋体" w:eastAsia="宋体" w:hint="eastAsia"/>
          <w:color w:val="333333"/>
          <w:spacing w:val="-16"/>
        </w:rPr>
        <w:t>单位应当遵守国家有关规定，对易燃易爆危险</w:t>
      </w:r>
      <w:r>
        <w:rPr>
          <w:rFonts w:ascii="宋体" w:eastAsia="宋体" w:hint="eastAsia"/>
          <w:color w:val="333333"/>
          <w:spacing w:val="-17"/>
        </w:rPr>
        <w:t>物品的生产、使用、储存、销售、运输或者销毁实行严格的消防</w:t>
      </w:r>
      <w:r>
        <w:rPr>
          <w:rFonts w:ascii="宋体" w:eastAsia="宋体" w:hint="eastAsia"/>
          <w:color w:val="333333"/>
          <w:spacing w:val="-12"/>
        </w:rPr>
        <w:t>安全管理。</w:t>
      </w:r>
    </w:p>
    <w:p>
      <w:pPr>
        <w:spacing w:after="0" w:line="400" w:lineRule="exact"/>
        <w:jc w:val="both"/>
        <w:rPr>
          <w:rFonts w:ascii="宋体" w:eastAsia="宋体" w:hint="eastAsia"/>
        </w:rPr>
        <w:sectPr>
          <w:pgSz w:w="8400" w:h="11910"/>
          <w:pgMar w:header="0" w:footer="870" w:top="1100" w:bottom="1060" w:left="820" w:right="780"/>
        </w:sectPr>
      </w:pPr>
    </w:p>
    <w:p>
      <w:pPr>
        <w:pStyle w:val="BodyText"/>
        <w:spacing w:line="400" w:lineRule="exact" w:before="47"/>
        <w:ind w:right="227" w:firstLine="458"/>
        <w:jc w:val="both"/>
        <w:rPr>
          <w:rFonts w:ascii="宋体" w:eastAsia="宋体" w:hint="eastAsia"/>
        </w:rPr>
      </w:pPr>
      <w:r>
        <w:rPr>
          <w:rFonts w:ascii="Microsoft JhengHei" w:eastAsia="Microsoft JhengHei" w:hint="eastAsia"/>
          <w:b/>
          <w:color w:val="333333"/>
          <w:spacing w:val="-2"/>
        </w:rPr>
        <w:t>第二十三条 </w:t>
      </w:r>
      <w:r>
        <w:rPr>
          <w:rFonts w:ascii="宋体" w:eastAsia="宋体" w:hint="eastAsia"/>
          <w:color w:val="333333"/>
          <w:spacing w:val="-16"/>
        </w:rPr>
        <w:t>单位应当根据消防法规的有关规定，建立专职</w:t>
      </w:r>
      <w:r>
        <w:rPr>
          <w:rFonts w:ascii="宋体" w:eastAsia="宋体" w:hint="eastAsia"/>
          <w:color w:val="333333"/>
          <w:spacing w:val="-17"/>
        </w:rPr>
        <w:t>消防队、义务消防队，配备相应的消防装备、器材，并组织开展</w:t>
      </w:r>
      <w:r>
        <w:rPr>
          <w:rFonts w:ascii="宋体" w:eastAsia="宋体" w:hint="eastAsia"/>
          <w:color w:val="333333"/>
          <w:spacing w:val="-12"/>
        </w:rPr>
        <w:t>消防业务学习和灭火技能训练，提高预防和扑救火灾的能力。</w:t>
      </w:r>
    </w:p>
    <w:p>
      <w:pPr>
        <w:spacing w:before="1"/>
        <w:ind w:left="200" w:right="0" w:firstLine="458"/>
        <w:jc w:val="both"/>
        <w:rPr>
          <w:rFonts w:ascii="宋体" w:eastAsia="宋体" w:hint="eastAsia"/>
          <w:sz w:val="24"/>
        </w:rPr>
      </w:pPr>
      <w:r>
        <w:rPr>
          <w:rFonts w:ascii="Microsoft JhengHei" w:eastAsia="Microsoft JhengHei" w:hint="eastAsia"/>
          <w:b/>
          <w:color w:val="333333"/>
          <w:sz w:val="24"/>
        </w:rPr>
        <w:t>第二十四条 </w:t>
      </w:r>
      <w:r>
        <w:rPr>
          <w:rFonts w:ascii="宋体" w:eastAsia="宋体" w:hint="eastAsia"/>
          <w:color w:val="333333"/>
          <w:sz w:val="24"/>
        </w:rPr>
        <w:t>单位发生火灾时，应当立即实施灭火和应急疏</w:t>
      </w:r>
    </w:p>
    <w:p>
      <w:pPr>
        <w:pStyle w:val="BodyText"/>
        <w:spacing w:line="312" w:lineRule="auto" w:before="39"/>
        <w:ind w:right="240"/>
        <w:jc w:val="both"/>
        <w:rPr>
          <w:rFonts w:ascii="宋体" w:eastAsia="宋体" w:hint="eastAsia"/>
        </w:rPr>
      </w:pPr>
      <w:r>
        <w:rPr>
          <w:rFonts w:ascii="宋体" w:eastAsia="宋体" w:hint="eastAsia"/>
          <w:color w:val="333333"/>
          <w:spacing w:val="-10"/>
        </w:rPr>
        <w:t>散预案，务必做到及时报警,迅速扑救火灾，及时疏散人员。邻</w:t>
      </w:r>
      <w:r>
        <w:rPr>
          <w:rFonts w:ascii="宋体" w:eastAsia="宋体" w:hint="eastAsia"/>
          <w:color w:val="333333"/>
          <w:spacing w:val="-18"/>
        </w:rPr>
        <w:t>近单位应当给予支援。任何单位、人员都应当无偿为报火警提供</w:t>
      </w:r>
      <w:r>
        <w:rPr>
          <w:rFonts w:ascii="宋体" w:eastAsia="宋体" w:hint="eastAsia"/>
          <w:color w:val="333333"/>
          <w:spacing w:val="-12"/>
        </w:rPr>
        <w:t>便利，不得阻拦报警。</w:t>
      </w:r>
    </w:p>
    <w:p>
      <w:pPr>
        <w:pStyle w:val="BodyText"/>
        <w:spacing w:line="312" w:lineRule="auto" w:before="1"/>
        <w:ind w:right="235" w:firstLine="480"/>
        <w:rPr>
          <w:rFonts w:ascii="宋体" w:eastAsia="宋体" w:hint="eastAsia"/>
        </w:rPr>
      </w:pPr>
      <w:r>
        <w:rPr>
          <w:rFonts w:ascii="宋体" w:eastAsia="宋体" w:hint="eastAsia"/>
          <w:color w:val="333333"/>
        </w:rPr>
        <w:t>单位应当为公安消防机构抢救人员、扑救火灾提供便利和条件。</w:t>
      </w:r>
    </w:p>
    <w:p>
      <w:pPr>
        <w:pStyle w:val="BodyText"/>
        <w:spacing w:line="312" w:lineRule="auto"/>
        <w:ind w:right="230" w:firstLine="456"/>
        <w:jc w:val="both"/>
        <w:rPr>
          <w:rFonts w:ascii="宋体" w:eastAsia="宋体" w:hint="eastAsia"/>
        </w:rPr>
      </w:pPr>
      <w:r>
        <w:rPr>
          <w:rFonts w:ascii="宋体" w:eastAsia="宋体" w:hint="eastAsia"/>
          <w:color w:val="333333"/>
          <w:spacing w:val="-18"/>
        </w:rPr>
        <w:t>火灾扑灭后，起火单位应当保护现场，接受事故调查，如实</w:t>
      </w:r>
      <w:r>
        <w:rPr>
          <w:rFonts w:ascii="宋体" w:eastAsia="宋体" w:hint="eastAsia"/>
          <w:color w:val="333333"/>
          <w:spacing w:val="-17"/>
        </w:rPr>
        <w:t>提供火灾事故的情况，协助公安消防机构调查火灾原因，核定火</w:t>
      </w:r>
      <w:r>
        <w:rPr>
          <w:rFonts w:ascii="宋体" w:eastAsia="宋体" w:hint="eastAsia"/>
          <w:color w:val="333333"/>
          <w:spacing w:val="-19"/>
        </w:rPr>
        <w:t>灾损失，查明火灾事故责任。未经公安消防机构同意，不得擅自</w:t>
      </w:r>
      <w:r>
        <w:rPr>
          <w:rFonts w:ascii="宋体" w:eastAsia="宋体" w:hint="eastAsia"/>
          <w:color w:val="333333"/>
          <w:spacing w:val="-12"/>
        </w:rPr>
        <w:t>清理火灾现场。</w:t>
      </w:r>
    </w:p>
    <w:p>
      <w:pPr>
        <w:pStyle w:val="Heading2"/>
        <w:tabs>
          <w:tab w:pos="1125" w:val="left" w:leader="none"/>
        </w:tabs>
        <w:spacing w:before="116"/>
        <w:ind w:right="40"/>
      </w:pPr>
      <w:r>
        <w:rPr/>
        <w:t>第四章</w:t>
        <w:tab/>
        <w:t>防火检查</w:t>
      </w:r>
    </w:p>
    <w:p>
      <w:pPr>
        <w:pStyle w:val="BodyText"/>
        <w:spacing w:line="400" w:lineRule="exact" w:before="126"/>
        <w:ind w:right="227" w:firstLine="420"/>
        <w:jc w:val="both"/>
        <w:rPr>
          <w:rFonts w:ascii="宋体" w:eastAsia="宋体" w:hint="eastAsia"/>
        </w:rPr>
      </w:pPr>
      <w:r>
        <w:rPr>
          <w:rFonts w:ascii="Microsoft JhengHei" w:eastAsia="Microsoft JhengHei" w:hint="eastAsia"/>
          <w:b/>
          <w:color w:val="333333"/>
          <w:spacing w:val="-2"/>
        </w:rPr>
        <w:t>第二十五条 </w:t>
      </w:r>
      <w:r>
        <w:rPr>
          <w:rFonts w:ascii="宋体" w:eastAsia="宋体" w:hint="eastAsia"/>
          <w:color w:val="333333"/>
          <w:spacing w:val="-14"/>
        </w:rPr>
        <w:t>消防安全重点单位应当进行每日防火巡查，并</w:t>
      </w:r>
      <w:r>
        <w:rPr>
          <w:rFonts w:ascii="宋体" w:eastAsia="宋体" w:hint="eastAsia"/>
          <w:color w:val="333333"/>
          <w:spacing w:val="-17"/>
        </w:rPr>
        <w:t>确定巡查的人员、内容、部位和频次。其他单位可以根据需要组</w:t>
      </w:r>
      <w:r>
        <w:rPr>
          <w:rFonts w:ascii="宋体" w:eastAsia="宋体" w:hint="eastAsia"/>
          <w:color w:val="333333"/>
          <w:spacing w:val="-12"/>
        </w:rPr>
        <w:t>织防火巡查。巡查的内容应当包括：</w:t>
      </w:r>
    </w:p>
    <w:p>
      <w:pPr>
        <w:pStyle w:val="BodyText"/>
        <w:spacing w:before="80"/>
        <w:ind w:left="620"/>
        <w:rPr>
          <w:rFonts w:ascii="宋体" w:eastAsia="宋体" w:hint="eastAsia"/>
        </w:rPr>
      </w:pPr>
      <w:r>
        <w:rPr>
          <w:rFonts w:ascii="宋体" w:eastAsia="宋体" w:hint="eastAsia"/>
          <w:color w:val="333333"/>
          <w:spacing w:val="-12"/>
        </w:rPr>
        <w:t>(一)用火、用电有无违章情况；</w:t>
      </w:r>
    </w:p>
    <w:p>
      <w:pPr>
        <w:pStyle w:val="BodyText"/>
        <w:spacing w:line="314" w:lineRule="auto" w:before="94"/>
        <w:ind w:right="242" w:firstLine="420"/>
        <w:rPr>
          <w:rFonts w:ascii="宋体" w:eastAsia="宋体" w:hint="eastAsia"/>
        </w:rPr>
      </w:pPr>
      <w:r>
        <w:rPr>
          <w:rFonts w:ascii="宋体" w:eastAsia="宋体" w:hint="eastAsia"/>
          <w:color w:val="333333"/>
          <w:spacing w:val="-13"/>
        </w:rPr>
        <w:t>(二)安全出口、疏散通道是否畅通，安全疏散指示标志、应</w:t>
      </w:r>
      <w:r>
        <w:rPr>
          <w:rFonts w:ascii="宋体" w:eastAsia="宋体" w:hint="eastAsia"/>
          <w:color w:val="333333"/>
          <w:spacing w:val="-12"/>
        </w:rPr>
        <w:t>急照明是否完好；</w:t>
      </w:r>
    </w:p>
    <w:p>
      <w:pPr>
        <w:pStyle w:val="BodyText"/>
        <w:spacing w:line="302" w:lineRule="exact"/>
        <w:ind w:left="620"/>
        <w:rPr>
          <w:rFonts w:ascii="宋体" w:eastAsia="宋体" w:hint="eastAsia"/>
        </w:rPr>
      </w:pPr>
      <w:r>
        <w:rPr>
          <w:rFonts w:ascii="宋体" w:eastAsia="宋体" w:hint="eastAsia"/>
          <w:color w:val="333333"/>
        </w:rPr>
        <w:t>(三)消防设施、器材和消防安全标志是否在位、完整；</w:t>
      </w:r>
    </w:p>
    <w:p>
      <w:pPr>
        <w:pStyle w:val="BodyText"/>
        <w:spacing w:line="312" w:lineRule="auto" w:before="93"/>
        <w:ind w:right="242" w:firstLine="420"/>
        <w:rPr>
          <w:rFonts w:ascii="宋体" w:eastAsia="宋体" w:hint="eastAsia"/>
        </w:rPr>
      </w:pPr>
      <w:r>
        <w:rPr>
          <w:rFonts w:ascii="宋体" w:eastAsia="宋体" w:hint="eastAsia"/>
          <w:color w:val="333333"/>
          <w:spacing w:val="-13"/>
        </w:rPr>
        <w:t>(四)常闭式防火门是否处于关闭状态，防火卷帘下是否堆放</w:t>
      </w:r>
      <w:r>
        <w:rPr>
          <w:rFonts w:ascii="宋体" w:eastAsia="宋体" w:hint="eastAsia"/>
          <w:color w:val="333333"/>
          <w:spacing w:val="-12"/>
        </w:rPr>
        <w:t>物品影响使用；</w:t>
      </w:r>
    </w:p>
    <w:p>
      <w:pPr>
        <w:spacing w:after="0" w:line="312" w:lineRule="auto"/>
        <w:rPr>
          <w:rFonts w:ascii="宋体" w:eastAsia="宋体" w:hint="eastAsia"/>
        </w:rPr>
        <w:sectPr>
          <w:pgSz w:w="8400" w:h="11910"/>
          <w:pgMar w:header="0" w:footer="870" w:top="1100" w:bottom="1060" w:left="820" w:right="780"/>
        </w:sectPr>
      </w:pPr>
    </w:p>
    <w:p>
      <w:pPr>
        <w:pStyle w:val="BodyText"/>
        <w:spacing w:line="312" w:lineRule="auto" w:before="127"/>
        <w:ind w:left="620" w:right="2066"/>
        <w:rPr>
          <w:rFonts w:ascii="宋体" w:eastAsia="宋体" w:hint="eastAsia"/>
        </w:rPr>
      </w:pPr>
      <w:r>
        <w:rPr>
          <w:rFonts w:ascii="宋体" w:eastAsia="宋体" w:hint="eastAsia"/>
          <w:color w:val="333333"/>
          <w:spacing w:val="-13"/>
        </w:rPr>
        <w:t>(五)消防安全重点部位的人员在岗情况； </w:t>
      </w:r>
      <w:r>
        <w:rPr>
          <w:rFonts w:ascii="宋体" w:eastAsia="宋体" w:hint="eastAsia"/>
          <w:color w:val="333333"/>
          <w:spacing w:val="-12"/>
        </w:rPr>
        <w:t>(六)其他消防安全情况。</w:t>
      </w:r>
    </w:p>
    <w:p>
      <w:pPr>
        <w:pStyle w:val="BodyText"/>
        <w:spacing w:line="312" w:lineRule="auto" w:before="2"/>
        <w:ind w:right="172" w:firstLine="420"/>
        <w:jc w:val="both"/>
        <w:rPr>
          <w:rFonts w:ascii="宋体" w:eastAsia="宋体" w:hint="eastAsia"/>
        </w:rPr>
      </w:pPr>
      <w:r>
        <w:rPr>
          <w:rFonts w:ascii="宋体" w:eastAsia="宋体" w:hint="eastAsia"/>
          <w:color w:val="333333"/>
          <w:spacing w:val="-3"/>
        </w:rPr>
        <w:t>公众聚集场所在营业期间的防火巡查应当至少每二小时一</w:t>
      </w:r>
      <w:r>
        <w:rPr>
          <w:rFonts w:ascii="宋体" w:eastAsia="宋体" w:hint="eastAsia"/>
          <w:color w:val="333333"/>
          <w:spacing w:val="-26"/>
        </w:rPr>
        <w:t>次；营业结束时应当对营业现场进行检查，消除遗留火种。医院、</w:t>
      </w:r>
      <w:r>
        <w:rPr>
          <w:rFonts w:ascii="宋体" w:eastAsia="宋体" w:hint="eastAsia"/>
          <w:color w:val="333333"/>
          <w:spacing w:val="-28"/>
        </w:rPr>
        <w:t>养老院、寄宿制的学校、托儿所、幼儿园应当加强夜间防火巡查， </w:t>
      </w:r>
      <w:r>
        <w:rPr>
          <w:rFonts w:ascii="宋体" w:eastAsia="宋体" w:hint="eastAsia"/>
          <w:color w:val="333333"/>
          <w:spacing w:val="-12"/>
        </w:rPr>
        <w:t>其他消防安全重点单位可以结合实际组织夜间防火巡查。</w:t>
      </w:r>
    </w:p>
    <w:p>
      <w:pPr>
        <w:pStyle w:val="BodyText"/>
        <w:spacing w:line="312" w:lineRule="auto"/>
        <w:ind w:right="227" w:firstLine="420"/>
        <w:jc w:val="both"/>
        <w:rPr>
          <w:rFonts w:ascii="宋体" w:eastAsia="宋体" w:hint="eastAsia"/>
        </w:rPr>
      </w:pPr>
      <w:r>
        <w:rPr>
          <w:rFonts w:ascii="宋体" w:eastAsia="宋体" w:hint="eastAsia"/>
          <w:color w:val="333333"/>
          <w:spacing w:val="-12"/>
        </w:rPr>
        <w:t>防火巡查人员应当及时纠正违章行为，妥善处臵火灾危险， </w:t>
      </w:r>
      <w:r>
        <w:rPr>
          <w:rFonts w:ascii="宋体" w:eastAsia="宋体" w:hint="eastAsia"/>
          <w:color w:val="333333"/>
          <w:spacing w:val="-17"/>
        </w:rPr>
        <w:t>无法当场处臵的，应当立即报告。发现初起火灾应当立即报警并</w:t>
      </w:r>
      <w:r>
        <w:rPr>
          <w:rFonts w:ascii="宋体" w:eastAsia="宋体" w:hint="eastAsia"/>
          <w:color w:val="333333"/>
          <w:spacing w:val="-12"/>
        </w:rPr>
        <w:t>及时扑救。</w:t>
      </w:r>
    </w:p>
    <w:p>
      <w:pPr>
        <w:pStyle w:val="BodyText"/>
        <w:spacing w:line="312" w:lineRule="auto" w:before="1"/>
        <w:ind w:right="242" w:firstLine="420"/>
        <w:rPr>
          <w:rFonts w:ascii="宋体" w:eastAsia="宋体" w:hint="eastAsia"/>
        </w:rPr>
      </w:pPr>
      <w:r>
        <w:rPr>
          <w:rFonts w:ascii="宋体" w:eastAsia="宋体" w:hint="eastAsia"/>
          <w:color w:val="333333"/>
          <w:spacing w:val="-13"/>
        </w:rPr>
        <w:t>防火巡查应当填写巡查记录，巡查人员及其主管人员应当在</w:t>
      </w:r>
      <w:r>
        <w:rPr>
          <w:rFonts w:ascii="宋体" w:eastAsia="宋体" w:hint="eastAsia"/>
          <w:color w:val="333333"/>
          <w:spacing w:val="-12"/>
        </w:rPr>
        <w:t>巡查记录上签名。</w:t>
      </w:r>
    </w:p>
    <w:p>
      <w:pPr>
        <w:tabs>
          <w:tab w:pos="1993" w:val="left" w:leader="none"/>
        </w:tabs>
        <w:spacing w:line="364" w:lineRule="exact" w:before="0"/>
        <w:ind w:left="620" w:right="0" w:firstLine="0"/>
        <w:jc w:val="left"/>
        <w:rPr>
          <w:rFonts w:ascii="宋体" w:eastAsia="宋体" w:hint="eastAsia"/>
          <w:sz w:val="24"/>
        </w:rPr>
      </w:pPr>
      <w:r>
        <w:rPr>
          <w:rFonts w:ascii="Microsoft JhengHei" w:eastAsia="Microsoft JhengHei" w:hint="eastAsia"/>
          <w:b/>
          <w:color w:val="333333"/>
          <w:spacing w:val="-12"/>
          <w:sz w:val="24"/>
        </w:rPr>
        <w:t>第二</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六</w:t>
      </w:r>
      <w:r>
        <w:rPr>
          <w:rFonts w:ascii="Microsoft JhengHei" w:eastAsia="Microsoft JhengHei" w:hint="eastAsia"/>
          <w:b/>
          <w:color w:val="333333"/>
          <w:sz w:val="24"/>
        </w:rPr>
        <w:t>条</w:t>
        <w:tab/>
      </w:r>
      <w:r>
        <w:rPr>
          <w:rFonts w:ascii="宋体" w:eastAsia="宋体" w:hint="eastAsia"/>
          <w:color w:val="333333"/>
          <w:spacing w:val="-12"/>
          <w:sz w:val="24"/>
        </w:rPr>
        <w:t>机关、团</w:t>
      </w:r>
      <w:r>
        <w:rPr>
          <w:rFonts w:ascii="宋体" w:eastAsia="宋体" w:hint="eastAsia"/>
          <w:color w:val="333333"/>
          <w:spacing w:val="-15"/>
          <w:sz w:val="24"/>
        </w:rPr>
        <w:t>体</w:t>
      </w:r>
      <w:r>
        <w:rPr>
          <w:rFonts w:ascii="宋体" w:eastAsia="宋体" w:hint="eastAsia"/>
          <w:color w:val="333333"/>
          <w:spacing w:val="-12"/>
          <w:sz w:val="24"/>
        </w:rPr>
        <w:t>、事业单位应当至少每季度进行</w:t>
      </w:r>
      <w:r>
        <w:rPr>
          <w:rFonts w:ascii="宋体" w:eastAsia="宋体" w:hint="eastAsia"/>
          <w:color w:val="333333"/>
          <w:sz w:val="24"/>
        </w:rPr>
        <w:t>一</w:t>
      </w:r>
    </w:p>
    <w:p>
      <w:pPr>
        <w:pStyle w:val="BodyText"/>
        <w:spacing w:line="312" w:lineRule="auto" w:before="36"/>
        <w:ind w:right="230"/>
        <w:rPr>
          <w:rFonts w:ascii="宋体" w:eastAsia="宋体" w:hint="eastAsia"/>
        </w:rPr>
      </w:pPr>
      <w:r>
        <w:rPr>
          <w:rFonts w:ascii="宋体" w:eastAsia="宋体" w:hint="eastAsia"/>
          <w:color w:val="333333"/>
          <w:spacing w:val="-18"/>
        </w:rPr>
        <w:t>次防火检查，其他单位应当至少每月进行一次防火检查。检查的</w:t>
      </w:r>
      <w:r>
        <w:rPr>
          <w:rFonts w:ascii="宋体" w:eastAsia="宋体" w:hint="eastAsia"/>
          <w:color w:val="333333"/>
          <w:spacing w:val="-12"/>
        </w:rPr>
        <w:t>内容应当包括：</w:t>
      </w:r>
    </w:p>
    <w:p>
      <w:pPr>
        <w:pStyle w:val="BodyText"/>
        <w:spacing w:before="3"/>
        <w:ind w:left="620"/>
        <w:rPr>
          <w:rFonts w:ascii="宋体" w:eastAsia="宋体" w:hint="eastAsia"/>
        </w:rPr>
      </w:pPr>
      <w:r>
        <w:rPr>
          <w:rFonts w:ascii="宋体" w:eastAsia="宋体" w:hint="eastAsia"/>
          <w:color w:val="333333"/>
        </w:rPr>
        <w:t>(一)火灾隐患的整改情况以及防范措施的落实情况；</w:t>
      </w:r>
    </w:p>
    <w:p>
      <w:pPr>
        <w:pStyle w:val="BodyText"/>
        <w:spacing w:line="312" w:lineRule="auto" w:before="91"/>
        <w:ind w:left="620" w:right="165"/>
        <w:rPr>
          <w:rFonts w:ascii="宋体" w:eastAsia="宋体" w:hint="eastAsia"/>
        </w:rPr>
      </w:pPr>
      <w:r>
        <w:rPr>
          <w:rFonts w:ascii="宋体" w:eastAsia="宋体" w:hint="eastAsia"/>
          <w:color w:val="333333"/>
          <w:spacing w:val="-34"/>
        </w:rPr>
        <w:t>(二)安全疏散通道、疏散指示标志、应急照明和安全出口情况； </w:t>
      </w:r>
      <w:r>
        <w:rPr>
          <w:rFonts w:ascii="宋体" w:eastAsia="宋体" w:hint="eastAsia"/>
          <w:color w:val="333333"/>
          <w:spacing w:val="-12"/>
        </w:rPr>
        <w:t>(三)消防车通道、消防水源情况；</w:t>
      </w:r>
    </w:p>
    <w:p>
      <w:pPr>
        <w:pStyle w:val="BodyText"/>
        <w:spacing w:line="312" w:lineRule="auto" w:before="2"/>
        <w:ind w:left="620" w:right="2944"/>
        <w:rPr>
          <w:rFonts w:ascii="宋体" w:eastAsia="宋体" w:hint="eastAsia"/>
        </w:rPr>
      </w:pPr>
      <w:r>
        <w:rPr>
          <w:rFonts w:ascii="宋体" w:eastAsia="宋体" w:hint="eastAsia"/>
          <w:color w:val="333333"/>
          <w:spacing w:val="-14"/>
        </w:rPr>
        <w:t>(四)灭火器材配臵及有效情况； (五)用火、用电有无违章情况；</w:t>
      </w:r>
    </w:p>
    <w:p>
      <w:pPr>
        <w:pStyle w:val="BodyText"/>
        <w:spacing w:line="314" w:lineRule="auto"/>
        <w:ind w:left="620" w:right="926"/>
        <w:rPr>
          <w:rFonts w:ascii="宋体" w:eastAsia="宋体" w:hint="eastAsia"/>
        </w:rPr>
      </w:pPr>
      <w:r>
        <w:rPr>
          <w:rFonts w:ascii="宋体" w:eastAsia="宋体" w:hint="eastAsia"/>
          <w:color w:val="333333"/>
          <w:spacing w:val="-22"/>
        </w:rPr>
        <w:t>(六)重点工种人员以及其他员工消防知识的掌握情况； </w:t>
      </w:r>
      <w:r>
        <w:rPr>
          <w:rFonts w:ascii="宋体" w:eastAsia="宋体" w:hint="eastAsia"/>
          <w:color w:val="333333"/>
          <w:spacing w:val="-12"/>
        </w:rPr>
        <w:t>(七)消防安全重点部位的管理情况；</w:t>
      </w:r>
    </w:p>
    <w:p>
      <w:pPr>
        <w:pStyle w:val="BodyText"/>
        <w:spacing w:line="312" w:lineRule="auto"/>
        <w:ind w:right="242" w:firstLine="420"/>
        <w:rPr>
          <w:rFonts w:ascii="宋体" w:eastAsia="宋体" w:hint="eastAsia"/>
        </w:rPr>
      </w:pPr>
      <w:r>
        <w:rPr>
          <w:rFonts w:ascii="宋体" w:eastAsia="宋体" w:hint="eastAsia"/>
          <w:color w:val="333333"/>
          <w:spacing w:val="-13"/>
        </w:rPr>
        <w:t>(八)易燃易爆危险物品和场所防火防爆措施的落实情况以及</w:t>
      </w:r>
      <w:r>
        <w:rPr>
          <w:rFonts w:ascii="宋体" w:eastAsia="宋体" w:hint="eastAsia"/>
          <w:color w:val="333333"/>
          <w:spacing w:val="-12"/>
        </w:rPr>
        <w:t>其他重要物资的防火安全情况；</w:t>
      </w:r>
    </w:p>
    <w:p>
      <w:pPr>
        <w:pStyle w:val="BodyText"/>
        <w:ind w:left="620"/>
        <w:rPr>
          <w:rFonts w:ascii="宋体" w:eastAsia="宋体" w:hint="eastAsia"/>
        </w:rPr>
      </w:pPr>
      <w:r>
        <w:rPr>
          <w:rFonts w:ascii="宋体" w:eastAsia="宋体" w:hint="eastAsia"/>
          <w:color w:val="333333"/>
        </w:rPr>
        <w:t>(九)消防(控制室)值班情况和设施运行、记录情况；</w:t>
      </w:r>
    </w:p>
    <w:p>
      <w:pPr>
        <w:spacing w:after="0"/>
        <w:rPr>
          <w:rFonts w:ascii="宋体" w:eastAsia="宋体" w:hint="eastAsia"/>
        </w:rPr>
        <w:sectPr>
          <w:pgSz w:w="8400" w:h="11910"/>
          <w:pgMar w:header="0" w:footer="870" w:top="1100" w:bottom="1060" w:left="820" w:right="780"/>
        </w:sectPr>
      </w:pPr>
    </w:p>
    <w:p>
      <w:pPr>
        <w:pStyle w:val="BodyText"/>
        <w:spacing w:before="144"/>
        <w:ind w:left="620"/>
        <w:rPr>
          <w:rFonts w:ascii="宋体" w:eastAsia="宋体" w:hint="eastAsia"/>
        </w:rPr>
      </w:pPr>
      <w:r>
        <w:rPr>
          <w:rFonts w:ascii="宋体" w:eastAsia="宋体" w:hint="eastAsia"/>
          <w:color w:val="333333"/>
        </w:rPr>
        <w:t>(十)防火巡查情况；</w:t>
      </w:r>
    </w:p>
    <w:p>
      <w:pPr>
        <w:pStyle w:val="BodyText"/>
        <w:spacing w:line="328" w:lineRule="auto" w:before="113"/>
        <w:ind w:left="620" w:right="926"/>
        <w:rPr>
          <w:rFonts w:ascii="宋体" w:eastAsia="宋体" w:hint="eastAsia"/>
        </w:rPr>
      </w:pPr>
      <w:r>
        <w:rPr>
          <w:rFonts w:ascii="宋体" w:eastAsia="宋体" w:hint="eastAsia"/>
          <w:color w:val="333333"/>
          <w:spacing w:val="-13"/>
        </w:rPr>
        <w:t>(十一)消防安全标志的设臵情况和完好、有效情况； </w:t>
      </w:r>
      <w:r>
        <w:rPr>
          <w:rFonts w:ascii="宋体" w:eastAsia="宋体" w:hint="eastAsia"/>
          <w:color w:val="333333"/>
          <w:spacing w:val="-12"/>
        </w:rPr>
        <w:t>(十二)其他需要检查的内容。</w:t>
      </w:r>
    </w:p>
    <w:p>
      <w:pPr>
        <w:pStyle w:val="BodyText"/>
        <w:spacing w:line="328" w:lineRule="auto"/>
        <w:ind w:right="242" w:firstLine="420"/>
        <w:rPr>
          <w:rFonts w:ascii="宋体" w:eastAsia="宋体" w:hint="eastAsia"/>
        </w:rPr>
      </w:pPr>
      <w:r>
        <w:rPr>
          <w:rFonts w:ascii="宋体" w:eastAsia="宋体" w:hint="eastAsia"/>
          <w:color w:val="333333"/>
          <w:spacing w:val="-13"/>
        </w:rPr>
        <w:t>防火检查应当填写检查记录。检查人员和被检查部门负责人</w:t>
      </w:r>
      <w:r>
        <w:rPr>
          <w:rFonts w:ascii="宋体" w:eastAsia="宋体" w:hint="eastAsia"/>
          <w:color w:val="333333"/>
          <w:spacing w:val="-12"/>
        </w:rPr>
        <w:t>应当在检查记录上签名。</w:t>
      </w:r>
    </w:p>
    <w:p>
      <w:pPr>
        <w:tabs>
          <w:tab w:pos="2051" w:val="left" w:leader="none"/>
        </w:tabs>
        <w:spacing w:line="360" w:lineRule="exact" w:before="0"/>
        <w:ind w:left="620" w:right="0" w:firstLine="0"/>
        <w:jc w:val="left"/>
        <w:rPr>
          <w:rFonts w:ascii="宋体" w:eastAsia="宋体" w:hint="eastAsia"/>
          <w:sz w:val="24"/>
        </w:rPr>
      </w:pPr>
      <w:r>
        <w:rPr>
          <w:rFonts w:ascii="Microsoft JhengHei" w:eastAsia="Microsoft JhengHei" w:hint="eastAsia"/>
          <w:b/>
          <w:color w:val="333333"/>
          <w:spacing w:val="-3"/>
          <w:sz w:val="24"/>
        </w:rPr>
        <w:t>第二十七</w:t>
      </w:r>
      <w:r>
        <w:rPr>
          <w:rFonts w:ascii="Microsoft JhengHei" w:eastAsia="Microsoft JhengHei" w:hint="eastAsia"/>
          <w:b/>
          <w:color w:val="333333"/>
          <w:sz w:val="24"/>
        </w:rPr>
        <w:t>条</w:t>
        <w:tab/>
      </w:r>
      <w:r>
        <w:rPr>
          <w:rFonts w:ascii="宋体" w:eastAsia="宋体" w:hint="eastAsia"/>
          <w:color w:val="333333"/>
          <w:spacing w:val="-3"/>
          <w:sz w:val="24"/>
        </w:rPr>
        <w:t>单</w:t>
      </w:r>
      <w:r>
        <w:rPr>
          <w:rFonts w:ascii="宋体" w:eastAsia="宋体" w:hint="eastAsia"/>
          <w:color w:val="333333"/>
          <w:spacing w:val="-5"/>
          <w:sz w:val="24"/>
        </w:rPr>
        <w:t>位</w:t>
      </w:r>
      <w:r>
        <w:rPr>
          <w:rFonts w:ascii="宋体" w:eastAsia="宋体" w:hint="eastAsia"/>
          <w:color w:val="333333"/>
          <w:spacing w:val="-3"/>
          <w:sz w:val="24"/>
        </w:rPr>
        <w:t>应当按照建筑</w:t>
      </w:r>
      <w:r>
        <w:rPr>
          <w:rFonts w:ascii="宋体" w:eastAsia="宋体" w:hint="eastAsia"/>
          <w:color w:val="333333"/>
          <w:spacing w:val="-5"/>
          <w:sz w:val="24"/>
        </w:rPr>
        <w:t>消</w:t>
      </w:r>
      <w:r>
        <w:rPr>
          <w:rFonts w:ascii="宋体" w:eastAsia="宋体" w:hint="eastAsia"/>
          <w:color w:val="333333"/>
          <w:spacing w:val="-3"/>
          <w:sz w:val="24"/>
        </w:rPr>
        <w:t>防设施检查维修保养</w:t>
      </w:r>
      <w:r>
        <w:rPr>
          <w:rFonts w:ascii="宋体" w:eastAsia="宋体" w:hint="eastAsia"/>
          <w:color w:val="333333"/>
          <w:sz w:val="24"/>
        </w:rPr>
        <w:t>有</w:t>
      </w:r>
    </w:p>
    <w:p>
      <w:pPr>
        <w:pStyle w:val="BodyText"/>
        <w:spacing w:line="328" w:lineRule="auto" w:before="56"/>
        <w:ind w:right="227"/>
        <w:rPr>
          <w:rFonts w:ascii="宋体" w:eastAsia="宋体" w:hint="eastAsia"/>
        </w:rPr>
      </w:pPr>
      <w:r>
        <w:rPr>
          <w:rFonts w:ascii="宋体" w:eastAsia="宋体" w:hint="eastAsia"/>
          <w:color w:val="333333"/>
          <w:spacing w:val="-17"/>
        </w:rPr>
        <w:t>关规定的要求，对建筑消防设施的完好有效情况进行检查和维修</w:t>
      </w:r>
      <w:r>
        <w:rPr>
          <w:rFonts w:ascii="宋体" w:eastAsia="宋体" w:hint="eastAsia"/>
          <w:color w:val="333333"/>
          <w:spacing w:val="-12"/>
        </w:rPr>
        <w:t>保养。</w:t>
      </w:r>
    </w:p>
    <w:p>
      <w:pPr>
        <w:tabs>
          <w:tab w:pos="1993" w:val="left" w:leader="none"/>
        </w:tabs>
        <w:spacing w:line="360" w:lineRule="exact" w:before="0"/>
        <w:ind w:left="620" w:right="0" w:firstLine="0"/>
        <w:jc w:val="left"/>
        <w:rPr>
          <w:rFonts w:ascii="宋体" w:eastAsia="宋体" w:hint="eastAsia"/>
          <w:sz w:val="24"/>
        </w:rPr>
      </w:pPr>
      <w:r>
        <w:rPr>
          <w:rFonts w:ascii="Microsoft JhengHei" w:eastAsia="Microsoft JhengHei" w:hint="eastAsia"/>
          <w:b/>
          <w:color w:val="333333"/>
          <w:spacing w:val="-12"/>
          <w:sz w:val="24"/>
        </w:rPr>
        <w:t>第二</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八</w:t>
      </w:r>
      <w:r>
        <w:rPr>
          <w:rFonts w:ascii="Microsoft JhengHei" w:eastAsia="Microsoft JhengHei" w:hint="eastAsia"/>
          <w:b/>
          <w:color w:val="333333"/>
          <w:sz w:val="24"/>
        </w:rPr>
        <w:t>条</w:t>
        <w:tab/>
      </w:r>
      <w:r>
        <w:rPr>
          <w:rFonts w:ascii="宋体" w:eastAsia="宋体" w:hint="eastAsia"/>
          <w:color w:val="333333"/>
          <w:spacing w:val="-12"/>
          <w:sz w:val="24"/>
        </w:rPr>
        <w:t>设有自动消防设施的单</w:t>
      </w:r>
      <w:r>
        <w:rPr>
          <w:rFonts w:ascii="宋体" w:eastAsia="宋体" w:hint="eastAsia"/>
          <w:color w:val="333333"/>
          <w:spacing w:val="-15"/>
          <w:sz w:val="24"/>
        </w:rPr>
        <w:t>位，</w:t>
      </w:r>
      <w:r>
        <w:rPr>
          <w:rFonts w:ascii="宋体" w:eastAsia="宋体" w:hint="eastAsia"/>
          <w:color w:val="333333"/>
          <w:spacing w:val="-12"/>
          <w:sz w:val="24"/>
        </w:rPr>
        <w:t>应</w:t>
      </w:r>
      <w:r>
        <w:rPr>
          <w:rFonts w:ascii="宋体" w:eastAsia="宋体" w:hint="eastAsia"/>
          <w:color w:val="333333"/>
          <w:spacing w:val="-10"/>
          <w:sz w:val="24"/>
        </w:rPr>
        <w:t>当</w:t>
      </w:r>
      <w:r>
        <w:rPr>
          <w:rFonts w:ascii="宋体" w:eastAsia="宋体" w:hint="eastAsia"/>
          <w:color w:val="333333"/>
          <w:spacing w:val="-12"/>
          <w:sz w:val="24"/>
        </w:rPr>
        <w:t>按照有关规定</w:t>
      </w:r>
    </w:p>
    <w:p>
      <w:pPr>
        <w:pStyle w:val="BodyText"/>
        <w:spacing w:line="328" w:lineRule="auto" w:before="57"/>
        <w:ind w:right="230"/>
        <w:rPr>
          <w:rFonts w:ascii="宋体" w:eastAsia="宋体" w:hint="eastAsia"/>
        </w:rPr>
      </w:pPr>
      <w:r>
        <w:rPr>
          <w:rFonts w:ascii="宋体" w:eastAsia="宋体" w:hint="eastAsia"/>
          <w:color w:val="333333"/>
          <w:spacing w:val="-16"/>
        </w:rPr>
        <w:t>定期对其自动消防设施进行全面检查测试，并出具检测报告，存</w:t>
      </w:r>
      <w:r>
        <w:rPr>
          <w:rFonts w:ascii="宋体" w:eastAsia="宋体" w:hint="eastAsia"/>
          <w:color w:val="333333"/>
          <w:spacing w:val="-12"/>
        </w:rPr>
        <w:t>档备查。</w:t>
      </w:r>
    </w:p>
    <w:p>
      <w:pPr>
        <w:tabs>
          <w:tab w:pos="2051" w:val="left" w:leader="none"/>
        </w:tabs>
        <w:spacing w:line="360" w:lineRule="exact" w:before="0"/>
        <w:ind w:left="620" w:right="0" w:firstLine="0"/>
        <w:jc w:val="left"/>
        <w:rPr>
          <w:rFonts w:ascii="宋体" w:eastAsia="宋体" w:hint="eastAsia"/>
          <w:sz w:val="24"/>
        </w:rPr>
      </w:pPr>
      <w:r>
        <w:rPr>
          <w:rFonts w:ascii="Microsoft JhengHei" w:eastAsia="Microsoft JhengHei" w:hint="eastAsia"/>
          <w:b/>
          <w:color w:val="333333"/>
          <w:spacing w:val="-3"/>
          <w:sz w:val="24"/>
        </w:rPr>
        <w:t>第二十九</w:t>
      </w:r>
      <w:r>
        <w:rPr>
          <w:rFonts w:ascii="Microsoft JhengHei" w:eastAsia="Microsoft JhengHei" w:hint="eastAsia"/>
          <w:b/>
          <w:color w:val="333333"/>
          <w:sz w:val="24"/>
        </w:rPr>
        <w:t>条</w:t>
        <w:tab/>
      </w:r>
      <w:r>
        <w:rPr>
          <w:rFonts w:ascii="宋体" w:eastAsia="宋体" w:hint="eastAsia"/>
          <w:color w:val="333333"/>
          <w:spacing w:val="-3"/>
          <w:sz w:val="24"/>
        </w:rPr>
        <w:t>单</w:t>
      </w:r>
      <w:r>
        <w:rPr>
          <w:rFonts w:ascii="宋体" w:eastAsia="宋体" w:hint="eastAsia"/>
          <w:color w:val="333333"/>
          <w:spacing w:val="-5"/>
          <w:sz w:val="24"/>
        </w:rPr>
        <w:t>位</w:t>
      </w:r>
      <w:r>
        <w:rPr>
          <w:rFonts w:ascii="宋体" w:eastAsia="宋体" w:hint="eastAsia"/>
          <w:color w:val="333333"/>
          <w:spacing w:val="-3"/>
          <w:sz w:val="24"/>
        </w:rPr>
        <w:t>应当按照有关</w:t>
      </w:r>
      <w:r>
        <w:rPr>
          <w:rFonts w:ascii="宋体" w:eastAsia="宋体" w:hint="eastAsia"/>
          <w:color w:val="333333"/>
          <w:spacing w:val="-5"/>
          <w:sz w:val="24"/>
        </w:rPr>
        <w:t>规</w:t>
      </w:r>
      <w:r>
        <w:rPr>
          <w:rFonts w:ascii="宋体" w:eastAsia="宋体" w:hint="eastAsia"/>
          <w:color w:val="333333"/>
          <w:spacing w:val="-3"/>
          <w:sz w:val="24"/>
        </w:rPr>
        <w:t>定定期对灭火器进行</w:t>
      </w:r>
      <w:r>
        <w:rPr>
          <w:rFonts w:ascii="宋体" w:eastAsia="宋体" w:hint="eastAsia"/>
          <w:color w:val="333333"/>
          <w:sz w:val="24"/>
        </w:rPr>
        <w:t>维</w:t>
      </w:r>
    </w:p>
    <w:p>
      <w:pPr>
        <w:pStyle w:val="BodyText"/>
        <w:spacing w:line="328" w:lineRule="auto" w:before="58"/>
        <w:ind w:right="226"/>
        <w:jc w:val="both"/>
        <w:rPr>
          <w:rFonts w:ascii="宋体" w:eastAsia="宋体" w:hint="eastAsia"/>
        </w:rPr>
      </w:pPr>
      <w:r>
        <w:rPr>
          <w:rFonts w:ascii="宋体" w:eastAsia="宋体" w:hint="eastAsia"/>
          <w:color w:val="333333"/>
          <w:spacing w:val="-5"/>
        </w:rPr>
        <w:t>护保养和维修检查。对灭火器应当建立档案资料，记明配臵类</w:t>
      </w:r>
      <w:r>
        <w:rPr>
          <w:rFonts w:ascii="宋体" w:eastAsia="宋体" w:hint="eastAsia"/>
          <w:color w:val="333333"/>
          <w:spacing w:val="-17"/>
        </w:rPr>
        <w:t>型、数量、设臵位臵、检查维修单位(人员)、更换药剂的时间等</w:t>
      </w:r>
      <w:r>
        <w:rPr>
          <w:rFonts w:ascii="宋体" w:eastAsia="宋体" w:hint="eastAsia"/>
          <w:color w:val="333333"/>
          <w:spacing w:val="-12"/>
        </w:rPr>
        <w:t>有关情况。</w:t>
      </w:r>
    </w:p>
    <w:p>
      <w:pPr>
        <w:pStyle w:val="Heading2"/>
        <w:tabs>
          <w:tab w:pos="3095" w:val="left" w:leader="none"/>
        </w:tabs>
        <w:spacing w:before="94"/>
        <w:ind w:left="1969"/>
        <w:jc w:val="left"/>
      </w:pPr>
      <w:r>
        <w:rPr/>
        <w:t>第五章</w:t>
        <w:tab/>
        <w:t>火灾隐患整改</w:t>
      </w:r>
    </w:p>
    <w:p>
      <w:pPr>
        <w:tabs>
          <w:tab w:pos="1765" w:val="left" w:leader="none"/>
          <w:tab w:pos="1993" w:val="left" w:leader="none"/>
        </w:tabs>
        <w:spacing w:line="216" w:lineRule="auto" w:before="162"/>
        <w:ind w:left="620" w:right="241" w:firstLine="0"/>
        <w:jc w:val="left"/>
        <w:rPr>
          <w:rFonts w:ascii="宋体" w:eastAsia="宋体" w:hint="eastAsia"/>
          <w:sz w:val="24"/>
        </w:rPr>
      </w:pPr>
      <w:r>
        <w:rPr>
          <w:rFonts w:ascii="Microsoft JhengHei" w:eastAsia="Microsoft JhengHei" w:hint="eastAsia"/>
          <w:b/>
          <w:color w:val="333333"/>
          <w:spacing w:val="-12"/>
          <w:sz w:val="24"/>
        </w:rPr>
        <w:t>第三</w:t>
      </w:r>
      <w:r>
        <w:rPr>
          <w:rFonts w:ascii="Microsoft JhengHei" w:eastAsia="Microsoft JhengHei" w:hint="eastAsia"/>
          <w:b/>
          <w:color w:val="333333"/>
          <w:spacing w:val="-10"/>
          <w:sz w:val="24"/>
        </w:rPr>
        <w:t>十</w:t>
      </w:r>
      <w:r>
        <w:rPr>
          <w:rFonts w:ascii="Microsoft JhengHei" w:eastAsia="Microsoft JhengHei" w:hint="eastAsia"/>
          <w:b/>
          <w:color w:val="333333"/>
          <w:sz w:val="24"/>
        </w:rPr>
        <w:t>条</w:t>
        <w:tab/>
      </w:r>
      <w:r>
        <w:rPr>
          <w:rFonts w:ascii="宋体" w:eastAsia="宋体" w:hint="eastAsia"/>
          <w:color w:val="333333"/>
          <w:spacing w:val="-12"/>
          <w:sz w:val="24"/>
        </w:rPr>
        <w:t>单位对存在的火灾隐患，应当及时予以消除。 </w:t>
      </w:r>
      <w:r>
        <w:rPr>
          <w:rFonts w:ascii="Microsoft JhengHei" w:eastAsia="Microsoft JhengHei" w:hint="eastAsia"/>
          <w:b/>
          <w:color w:val="333333"/>
          <w:spacing w:val="-12"/>
          <w:sz w:val="24"/>
        </w:rPr>
        <w:t>第三</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一</w:t>
      </w:r>
      <w:r>
        <w:rPr>
          <w:rFonts w:ascii="Microsoft JhengHei" w:eastAsia="Microsoft JhengHei" w:hint="eastAsia"/>
          <w:b/>
          <w:color w:val="333333"/>
          <w:sz w:val="24"/>
        </w:rPr>
        <w:t>条</w:t>
        <w:tab/>
      </w:r>
      <w:r>
        <w:rPr>
          <w:rFonts w:ascii="宋体" w:eastAsia="宋体" w:hint="eastAsia"/>
          <w:color w:val="333333"/>
          <w:spacing w:val="-12"/>
          <w:sz w:val="24"/>
        </w:rPr>
        <w:t>对下列违反消防安全规定的行</w:t>
      </w:r>
      <w:r>
        <w:rPr>
          <w:rFonts w:ascii="宋体" w:eastAsia="宋体" w:hint="eastAsia"/>
          <w:color w:val="333333"/>
          <w:spacing w:val="-15"/>
          <w:sz w:val="24"/>
        </w:rPr>
        <w:t>为，</w:t>
      </w:r>
      <w:r>
        <w:rPr>
          <w:rFonts w:ascii="宋体" w:eastAsia="宋体" w:hint="eastAsia"/>
          <w:color w:val="333333"/>
          <w:spacing w:val="-12"/>
          <w:sz w:val="24"/>
        </w:rPr>
        <w:t>单位应当</w:t>
      </w:r>
      <w:r>
        <w:rPr>
          <w:rFonts w:ascii="宋体" w:eastAsia="宋体" w:hint="eastAsia"/>
          <w:color w:val="333333"/>
          <w:spacing w:val="-28"/>
          <w:sz w:val="24"/>
        </w:rPr>
        <w:t>责</w:t>
      </w:r>
    </w:p>
    <w:p>
      <w:pPr>
        <w:pStyle w:val="BodyText"/>
        <w:spacing w:before="52"/>
        <w:rPr>
          <w:rFonts w:ascii="宋体" w:eastAsia="宋体" w:hint="eastAsia"/>
        </w:rPr>
      </w:pPr>
      <w:r>
        <w:rPr>
          <w:rFonts w:ascii="宋体" w:eastAsia="宋体" w:hint="eastAsia"/>
          <w:color w:val="333333"/>
        </w:rPr>
        <w:t>成有关人员当场改正并督促落实：</w:t>
      </w:r>
    </w:p>
    <w:p>
      <w:pPr>
        <w:pStyle w:val="BodyText"/>
        <w:spacing w:before="94"/>
        <w:ind w:left="620"/>
        <w:rPr>
          <w:rFonts w:ascii="宋体" w:eastAsia="宋体" w:hint="eastAsia"/>
        </w:rPr>
      </w:pPr>
      <w:r>
        <w:rPr>
          <w:rFonts w:ascii="宋体" w:eastAsia="宋体" w:hint="eastAsia"/>
          <w:color w:val="333333"/>
        </w:rPr>
        <w:t>(一)违章进入生产、储存易燃易爆危险物品场所的；</w:t>
      </w:r>
    </w:p>
    <w:p>
      <w:pPr>
        <w:pStyle w:val="BodyText"/>
        <w:spacing w:line="312" w:lineRule="auto" w:before="90"/>
        <w:ind w:right="241" w:firstLine="420"/>
        <w:rPr>
          <w:rFonts w:ascii="宋体" w:eastAsia="宋体" w:hint="eastAsia"/>
        </w:rPr>
      </w:pPr>
      <w:r>
        <w:rPr>
          <w:rFonts w:ascii="宋体" w:eastAsia="宋体" w:hint="eastAsia"/>
          <w:color w:val="333333"/>
          <w:spacing w:val="-13"/>
        </w:rPr>
        <w:t>(二)违章使用明火作业或者在具有火灾、爆炸危险的场所吸</w:t>
      </w:r>
      <w:r>
        <w:rPr>
          <w:rFonts w:ascii="宋体" w:eastAsia="宋体" w:hint="eastAsia"/>
          <w:color w:val="333333"/>
          <w:spacing w:val="-12"/>
        </w:rPr>
        <w:t>烟、使用明火等违反禁令的；</w:t>
      </w:r>
    </w:p>
    <w:p>
      <w:pPr>
        <w:spacing w:after="0" w:line="312" w:lineRule="auto"/>
        <w:rPr>
          <w:rFonts w:ascii="宋体" w:eastAsia="宋体" w:hint="eastAsia"/>
        </w:rPr>
        <w:sectPr>
          <w:pgSz w:w="8400" w:h="11910"/>
          <w:pgMar w:header="0" w:footer="870" w:top="1100" w:bottom="1060" w:left="820" w:right="780"/>
        </w:sectPr>
      </w:pPr>
    </w:p>
    <w:p>
      <w:pPr>
        <w:pStyle w:val="BodyText"/>
        <w:spacing w:line="312" w:lineRule="auto" w:before="127"/>
        <w:ind w:right="242" w:firstLine="420"/>
        <w:rPr>
          <w:rFonts w:ascii="宋体" w:eastAsia="宋体" w:hint="eastAsia"/>
        </w:rPr>
      </w:pPr>
      <w:r>
        <w:rPr>
          <w:rFonts w:ascii="宋体" w:eastAsia="宋体" w:hint="eastAsia"/>
          <w:color w:val="333333"/>
          <w:spacing w:val="-13"/>
        </w:rPr>
        <w:t>(三)将安全出口上锁、遮挡，或者占用、堆放物品影响疏散</w:t>
      </w:r>
      <w:r>
        <w:rPr>
          <w:rFonts w:ascii="宋体" w:eastAsia="宋体" w:hint="eastAsia"/>
          <w:color w:val="333333"/>
          <w:spacing w:val="-12"/>
        </w:rPr>
        <w:t>通道畅通的；</w:t>
      </w:r>
    </w:p>
    <w:p>
      <w:pPr>
        <w:pStyle w:val="BodyText"/>
        <w:spacing w:line="312" w:lineRule="auto" w:before="2"/>
        <w:ind w:left="620" w:right="242"/>
        <w:rPr>
          <w:rFonts w:ascii="宋体" w:eastAsia="宋体" w:hint="eastAsia"/>
        </w:rPr>
      </w:pPr>
      <w:r>
        <w:rPr>
          <w:rFonts w:ascii="宋体" w:eastAsia="宋体" w:hint="eastAsia"/>
          <w:color w:val="333333"/>
          <w:spacing w:val="-13"/>
        </w:rPr>
        <w:t>(四)消火栓、灭火器材被遮挡影响使用或者被挪作他用的； (五)常闭式防火门处于开启状态，防火卷帘下堆放物品影响</w:t>
      </w:r>
    </w:p>
    <w:p>
      <w:pPr>
        <w:pStyle w:val="BodyText"/>
        <w:spacing w:line="307" w:lineRule="exact"/>
        <w:rPr>
          <w:rFonts w:ascii="宋体" w:eastAsia="宋体" w:hint="eastAsia"/>
        </w:rPr>
      </w:pPr>
      <w:r>
        <w:rPr>
          <w:rFonts w:ascii="宋体" w:eastAsia="宋体" w:hint="eastAsia"/>
          <w:color w:val="333333"/>
        </w:rPr>
        <w:t>使用的；</w:t>
      </w:r>
    </w:p>
    <w:p>
      <w:pPr>
        <w:pStyle w:val="BodyText"/>
        <w:spacing w:line="312" w:lineRule="auto" w:before="94"/>
        <w:ind w:left="620" w:right="698"/>
        <w:rPr>
          <w:rFonts w:ascii="宋体" w:eastAsia="宋体" w:hint="eastAsia"/>
        </w:rPr>
      </w:pPr>
      <w:r>
        <w:rPr>
          <w:rFonts w:ascii="宋体" w:eastAsia="宋体" w:hint="eastAsia"/>
          <w:color w:val="333333"/>
          <w:spacing w:val="-13"/>
        </w:rPr>
        <w:t>(六)消防设施管理、值班人员和防火巡查人员脱岗的； </w:t>
      </w:r>
      <w:r>
        <w:rPr>
          <w:rFonts w:ascii="宋体" w:eastAsia="宋体" w:hint="eastAsia"/>
          <w:color w:val="333333"/>
          <w:spacing w:val="-12"/>
        </w:rPr>
        <w:t>(七)违章关闭消防设施、切断消防电源的；</w:t>
      </w:r>
    </w:p>
    <w:p>
      <w:pPr>
        <w:pStyle w:val="BodyText"/>
        <w:ind w:left="620"/>
        <w:rPr>
          <w:rFonts w:ascii="宋体" w:eastAsia="宋体" w:hint="eastAsia"/>
        </w:rPr>
      </w:pPr>
      <w:r>
        <w:rPr>
          <w:rFonts w:ascii="宋体" w:eastAsia="宋体" w:hint="eastAsia"/>
          <w:color w:val="333333"/>
        </w:rPr>
        <w:t>(八)其他可以当场改正的行为。</w:t>
      </w:r>
    </w:p>
    <w:p>
      <w:pPr>
        <w:pStyle w:val="BodyText"/>
        <w:tabs>
          <w:tab w:pos="1993" w:val="left" w:leader="none"/>
        </w:tabs>
        <w:spacing w:line="249" w:lineRule="auto" w:before="93"/>
        <w:ind w:left="620" w:right="239"/>
        <w:rPr>
          <w:rFonts w:ascii="宋体" w:eastAsia="宋体" w:hint="eastAsia"/>
        </w:rPr>
      </w:pPr>
      <w:r>
        <w:rPr>
          <w:rFonts w:ascii="宋体" w:eastAsia="宋体" w:hint="eastAsia"/>
          <w:color w:val="333333"/>
          <w:spacing w:val="-12"/>
        </w:rPr>
        <w:t>违反前款规定的情况以及改正情况应当有记录并存档备查</w:t>
      </w:r>
      <w:r>
        <w:rPr>
          <w:rFonts w:ascii="宋体" w:eastAsia="宋体" w:hint="eastAsia"/>
          <w:color w:val="333333"/>
          <w:spacing w:val="-27"/>
        </w:rPr>
        <w:t>。</w:t>
      </w:r>
      <w:r>
        <w:rPr>
          <w:rFonts w:ascii="Microsoft JhengHei" w:eastAsia="Microsoft JhengHei" w:hint="eastAsia"/>
          <w:b/>
          <w:color w:val="333333"/>
          <w:spacing w:val="-12"/>
        </w:rPr>
        <w:t>第三</w:t>
      </w:r>
      <w:r>
        <w:rPr>
          <w:rFonts w:ascii="Microsoft JhengHei" w:eastAsia="Microsoft JhengHei" w:hint="eastAsia"/>
          <w:b/>
          <w:color w:val="333333"/>
          <w:spacing w:val="-10"/>
        </w:rPr>
        <w:t>十</w:t>
      </w:r>
      <w:r>
        <w:rPr>
          <w:rFonts w:ascii="Microsoft JhengHei" w:eastAsia="Microsoft JhengHei" w:hint="eastAsia"/>
          <w:b/>
          <w:color w:val="333333"/>
          <w:spacing w:val="-12"/>
        </w:rPr>
        <w:t>二</w:t>
      </w:r>
      <w:r>
        <w:rPr>
          <w:rFonts w:ascii="Microsoft JhengHei" w:eastAsia="Microsoft JhengHei" w:hint="eastAsia"/>
          <w:b/>
          <w:color w:val="333333"/>
        </w:rPr>
        <w:t>条</w:t>
        <w:tab/>
      </w:r>
      <w:r>
        <w:rPr>
          <w:rFonts w:ascii="宋体" w:eastAsia="宋体" w:hint="eastAsia"/>
          <w:color w:val="333333"/>
          <w:spacing w:val="-12"/>
        </w:rPr>
        <w:t>对不能当场改正的火灾隐</w:t>
      </w:r>
      <w:r>
        <w:rPr>
          <w:rFonts w:ascii="宋体" w:eastAsia="宋体" w:hint="eastAsia"/>
          <w:color w:val="333333"/>
          <w:spacing w:val="-15"/>
        </w:rPr>
        <w:t>患，</w:t>
      </w:r>
      <w:r>
        <w:rPr>
          <w:rFonts w:ascii="宋体" w:eastAsia="宋体" w:hint="eastAsia"/>
          <w:color w:val="333333"/>
          <w:spacing w:val="-10"/>
        </w:rPr>
        <w:t>消</w:t>
      </w:r>
      <w:r>
        <w:rPr>
          <w:rFonts w:ascii="宋体" w:eastAsia="宋体" w:hint="eastAsia"/>
          <w:color w:val="333333"/>
          <w:spacing w:val="-12"/>
        </w:rPr>
        <w:t>防工作归口</w:t>
      </w:r>
      <w:r>
        <w:rPr>
          <w:rFonts w:ascii="宋体" w:eastAsia="宋体" w:hint="eastAsia"/>
          <w:color w:val="333333"/>
          <w:spacing w:val="-28"/>
        </w:rPr>
        <w:t>管</w:t>
      </w:r>
    </w:p>
    <w:p>
      <w:pPr>
        <w:pStyle w:val="BodyText"/>
        <w:spacing w:line="312" w:lineRule="auto" w:before="21"/>
        <w:ind w:right="227"/>
        <w:jc w:val="both"/>
        <w:rPr>
          <w:rFonts w:ascii="宋体" w:eastAsia="宋体" w:hint="eastAsia"/>
        </w:rPr>
      </w:pPr>
      <w:r>
        <w:rPr>
          <w:rFonts w:ascii="宋体" w:eastAsia="宋体" w:hint="eastAsia"/>
          <w:color w:val="333333"/>
          <w:spacing w:val="-5"/>
        </w:rPr>
        <w:t>理职能部门或者专兼职消防管理人员应当根据本单位的管理分</w:t>
      </w:r>
      <w:r>
        <w:rPr>
          <w:rFonts w:ascii="宋体" w:eastAsia="宋体" w:hint="eastAsia"/>
          <w:color w:val="333333"/>
          <w:spacing w:val="-18"/>
        </w:rPr>
        <w:t>工，及时将存在的火灾隐患向单位的消防安全管理人或者消防安全责任人报告，提出整改方案。消防安全管理人或者消防安全责</w:t>
      </w:r>
      <w:r>
        <w:rPr>
          <w:rFonts w:ascii="宋体" w:eastAsia="宋体" w:hint="eastAsia"/>
          <w:color w:val="333333"/>
          <w:spacing w:val="-17"/>
        </w:rPr>
        <w:t>任人应当确定整改的措施、期限以及负责整改的部门、人员，并</w:t>
      </w:r>
      <w:r>
        <w:rPr>
          <w:rFonts w:ascii="宋体" w:eastAsia="宋体" w:hint="eastAsia"/>
          <w:color w:val="333333"/>
          <w:spacing w:val="-12"/>
        </w:rPr>
        <w:t>落实整改资金。</w:t>
      </w:r>
    </w:p>
    <w:p>
      <w:pPr>
        <w:pStyle w:val="BodyText"/>
        <w:spacing w:line="312" w:lineRule="auto" w:before="1"/>
        <w:ind w:right="227" w:firstLine="420"/>
        <w:jc w:val="both"/>
        <w:rPr>
          <w:rFonts w:ascii="宋体" w:eastAsia="宋体" w:hint="eastAsia"/>
        </w:rPr>
      </w:pPr>
      <w:r>
        <w:rPr>
          <w:rFonts w:ascii="宋体" w:eastAsia="宋体" w:hint="eastAsia"/>
          <w:color w:val="333333"/>
          <w:spacing w:val="-12"/>
        </w:rPr>
        <w:t>在火灾隐患未消除之前，单位应当落实防范措施，保障消防</w:t>
      </w:r>
      <w:r>
        <w:rPr>
          <w:rFonts w:ascii="宋体" w:eastAsia="宋体" w:hint="eastAsia"/>
          <w:color w:val="333333"/>
          <w:spacing w:val="-19"/>
        </w:rPr>
        <w:t>安全。不能确保消防安全，随时可能引发火灾或者一旦发生火灾</w:t>
      </w:r>
      <w:r>
        <w:rPr>
          <w:rFonts w:ascii="宋体" w:eastAsia="宋体" w:hint="eastAsia"/>
          <w:color w:val="333333"/>
          <w:spacing w:val="-12"/>
        </w:rPr>
        <w:t>将严重危及人身安全的，应当将危险部位停产停业整改。</w:t>
      </w:r>
    </w:p>
    <w:p>
      <w:pPr>
        <w:spacing w:line="363" w:lineRule="exact" w:before="0"/>
        <w:ind w:left="620" w:right="0" w:firstLine="0"/>
        <w:jc w:val="both"/>
        <w:rPr>
          <w:rFonts w:ascii="宋体" w:eastAsia="宋体" w:hint="eastAsia"/>
          <w:sz w:val="24"/>
        </w:rPr>
      </w:pPr>
      <w:r>
        <w:rPr>
          <w:rFonts w:ascii="Microsoft JhengHei" w:eastAsia="Microsoft JhengHei" w:hint="eastAsia"/>
          <w:b/>
          <w:color w:val="333333"/>
          <w:sz w:val="24"/>
        </w:rPr>
        <w:t>第三十三条 </w:t>
      </w:r>
      <w:r>
        <w:rPr>
          <w:rFonts w:ascii="宋体" w:eastAsia="宋体" w:hint="eastAsia"/>
          <w:color w:val="333333"/>
          <w:sz w:val="24"/>
        </w:rPr>
        <w:t>火灾隐患整改完毕，负责整改的部门或者人员</w:t>
      </w:r>
    </w:p>
    <w:p>
      <w:pPr>
        <w:pStyle w:val="BodyText"/>
        <w:spacing w:line="314" w:lineRule="auto" w:before="38"/>
        <w:ind w:right="235"/>
        <w:rPr>
          <w:rFonts w:ascii="宋体" w:eastAsia="宋体" w:hint="eastAsia"/>
        </w:rPr>
      </w:pPr>
      <w:r>
        <w:rPr>
          <w:rFonts w:ascii="宋体" w:eastAsia="宋体" w:hint="eastAsia"/>
          <w:color w:val="333333"/>
          <w:spacing w:val="-6"/>
        </w:rPr>
        <w:t>应当将整改情况记录报送消防安全责任人或者消防安全管理人</w:t>
      </w:r>
      <w:r>
        <w:rPr>
          <w:rFonts w:ascii="宋体" w:eastAsia="宋体" w:hint="eastAsia"/>
          <w:color w:val="333333"/>
          <w:spacing w:val="-12"/>
        </w:rPr>
        <w:t>签字确认后存档备查。</w:t>
      </w:r>
    </w:p>
    <w:p>
      <w:pPr>
        <w:tabs>
          <w:tab w:pos="1430" w:val="left" w:leader="none"/>
        </w:tabs>
        <w:spacing w:line="373" w:lineRule="exact" w:before="0"/>
        <w:ind w:left="0" w:right="227" w:firstLine="0"/>
        <w:jc w:val="right"/>
        <w:rPr>
          <w:rFonts w:ascii="宋体" w:eastAsia="宋体" w:hint="eastAsia"/>
          <w:sz w:val="24"/>
        </w:rPr>
      </w:pPr>
      <w:r>
        <w:rPr>
          <w:rFonts w:ascii="Microsoft JhengHei" w:eastAsia="Microsoft JhengHei" w:hint="eastAsia"/>
          <w:b/>
          <w:color w:val="333333"/>
          <w:spacing w:val="-3"/>
          <w:sz w:val="24"/>
        </w:rPr>
        <w:t>第三十四</w:t>
      </w:r>
      <w:r>
        <w:rPr>
          <w:rFonts w:ascii="Microsoft JhengHei" w:eastAsia="Microsoft JhengHei" w:hint="eastAsia"/>
          <w:b/>
          <w:color w:val="333333"/>
          <w:sz w:val="24"/>
        </w:rPr>
        <w:t>条</w:t>
        <w:tab/>
      </w:r>
      <w:r>
        <w:rPr>
          <w:rFonts w:ascii="宋体" w:eastAsia="宋体" w:hint="eastAsia"/>
          <w:color w:val="333333"/>
          <w:spacing w:val="-3"/>
          <w:sz w:val="24"/>
        </w:rPr>
        <w:t>对</w:t>
      </w:r>
      <w:r>
        <w:rPr>
          <w:rFonts w:ascii="宋体" w:eastAsia="宋体" w:hint="eastAsia"/>
          <w:color w:val="333333"/>
          <w:spacing w:val="-5"/>
          <w:sz w:val="24"/>
        </w:rPr>
        <w:t>于</w:t>
      </w:r>
      <w:r>
        <w:rPr>
          <w:rFonts w:ascii="宋体" w:eastAsia="宋体" w:hint="eastAsia"/>
          <w:color w:val="333333"/>
          <w:spacing w:val="-3"/>
          <w:sz w:val="24"/>
        </w:rPr>
        <w:t>涉</w:t>
      </w:r>
      <w:r>
        <w:rPr>
          <w:rFonts w:ascii="宋体" w:eastAsia="宋体" w:hint="eastAsia"/>
          <w:color w:val="333333"/>
          <w:spacing w:val="-1"/>
          <w:sz w:val="24"/>
        </w:rPr>
        <w:t>及</w:t>
      </w:r>
      <w:r>
        <w:rPr>
          <w:rFonts w:ascii="宋体" w:eastAsia="宋体" w:hint="eastAsia"/>
          <w:color w:val="333333"/>
          <w:spacing w:val="-3"/>
          <w:sz w:val="24"/>
        </w:rPr>
        <w:t>城市规划</w:t>
      </w:r>
      <w:r>
        <w:rPr>
          <w:rFonts w:ascii="宋体" w:eastAsia="宋体" w:hint="eastAsia"/>
          <w:color w:val="333333"/>
          <w:spacing w:val="-5"/>
          <w:sz w:val="24"/>
        </w:rPr>
        <w:t>布</w:t>
      </w:r>
      <w:r>
        <w:rPr>
          <w:rFonts w:ascii="宋体" w:eastAsia="宋体" w:hint="eastAsia"/>
          <w:color w:val="333333"/>
          <w:spacing w:val="-3"/>
          <w:sz w:val="24"/>
        </w:rPr>
        <w:t>局而不能自身解决的</w:t>
      </w:r>
      <w:r>
        <w:rPr>
          <w:rFonts w:ascii="宋体" w:eastAsia="宋体" w:hint="eastAsia"/>
          <w:color w:val="333333"/>
          <w:spacing w:val="-1"/>
          <w:sz w:val="24"/>
        </w:rPr>
        <w:t>重</w:t>
      </w:r>
    </w:p>
    <w:p>
      <w:pPr>
        <w:pStyle w:val="BodyText"/>
        <w:spacing w:before="58"/>
        <w:ind w:left="0" w:right="227"/>
        <w:jc w:val="right"/>
        <w:rPr>
          <w:rFonts w:ascii="宋体" w:eastAsia="宋体" w:hint="eastAsia"/>
        </w:rPr>
      </w:pPr>
      <w:r>
        <w:rPr>
          <w:rFonts w:ascii="宋体" w:eastAsia="宋体" w:hint="eastAsia"/>
          <w:color w:val="333333"/>
          <w:spacing w:val="-17"/>
        </w:rPr>
        <w:t>大火灾隐患，以及机关、团体、事业单位确无能力解决的重大火</w:t>
      </w:r>
    </w:p>
    <w:p>
      <w:pPr>
        <w:spacing w:after="0"/>
        <w:jc w:val="right"/>
        <w:rPr>
          <w:rFonts w:ascii="宋体" w:eastAsia="宋体" w:hint="eastAsia"/>
        </w:rPr>
        <w:sectPr>
          <w:pgSz w:w="8400" w:h="11910"/>
          <w:pgMar w:header="0" w:footer="870" w:top="1100" w:bottom="1060" w:left="820" w:right="780"/>
        </w:sectPr>
      </w:pPr>
    </w:p>
    <w:p>
      <w:pPr>
        <w:pStyle w:val="BodyText"/>
        <w:spacing w:line="328" w:lineRule="auto" w:before="144"/>
        <w:ind w:right="227"/>
        <w:rPr>
          <w:rFonts w:ascii="宋体" w:eastAsia="宋体" w:hint="eastAsia"/>
        </w:rPr>
      </w:pPr>
      <w:r>
        <w:rPr>
          <w:rFonts w:ascii="宋体" w:eastAsia="宋体" w:hint="eastAsia"/>
          <w:color w:val="333333"/>
          <w:spacing w:val="-18"/>
        </w:rPr>
        <w:t>灾隐患，单位应当提出解决方案并及时向其上级主管部门或者当</w:t>
      </w:r>
      <w:r>
        <w:rPr>
          <w:rFonts w:ascii="宋体" w:eastAsia="宋体" w:hint="eastAsia"/>
          <w:color w:val="333333"/>
          <w:spacing w:val="-12"/>
        </w:rPr>
        <w:t>地人民政府报告。</w:t>
      </w:r>
    </w:p>
    <w:p>
      <w:pPr>
        <w:tabs>
          <w:tab w:pos="1993" w:val="left" w:leader="none"/>
        </w:tabs>
        <w:spacing w:line="360" w:lineRule="exact" w:before="0"/>
        <w:ind w:left="620" w:right="0" w:firstLine="0"/>
        <w:jc w:val="left"/>
        <w:rPr>
          <w:rFonts w:ascii="宋体" w:eastAsia="宋体" w:hint="eastAsia"/>
          <w:sz w:val="24"/>
        </w:rPr>
      </w:pPr>
      <w:r>
        <w:rPr>
          <w:rFonts w:ascii="Microsoft JhengHei" w:eastAsia="Microsoft JhengHei" w:hint="eastAsia"/>
          <w:b/>
          <w:color w:val="333333"/>
          <w:spacing w:val="-12"/>
          <w:sz w:val="24"/>
        </w:rPr>
        <w:t>第三</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五</w:t>
      </w:r>
      <w:r>
        <w:rPr>
          <w:rFonts w:ascii="Microsoft JhengHei" w:eastAsia="Microsoft JhengHei" w:hint="eastAsia"/>
          <w:b/>
          <w:color w:val="333333"/>
          <w:sz w:val="24"/>
        </w:rPr>
        <w:t>条</w:t>
        <w:tab/>
      </w:r>
      <w:r>
        <w:rPr>
          <w:rFonts w:ascii="宋体" w:eastAsia="宋体" w:hint="eastAsia"/>
          <w:color w:val="333333"/>
          <w:spacing w:val="-12"/>
          <w:sz w:val="24"/>
        </w:rPr>
        <w:t>对公安消防机构责令限期改正的火灾隐</w:t>
      </w:r>
      <w:r>
        <w:rPr>
          <w:rFonts w:ascii="宋体" w:eastAsia="宋体" w:hint="eastAsia"/>
          <w:color w:val="333333"/>
          <w:spacing w:val="-15"/>
          <w:sz w:val="24"/>
        </w:rPr>
        <w:t>患，</w:t>
      </w:r>
      <w:r>
        <w:rPr>
          <w:rFonts w:ascii="宋体" w:eastAsia="宋体" w:hint="eastAsia"/>
          <w:color w:val="333333"/>
          <w:sz w:val="24"/>
        </w:rPr>
        <w:t>单</w:t>
      </w:r>
    </w:p>
    <w:p>
      <w:pPr>
        <w:pStyle w:val="BodyText"/>
        <w:spacing w:line="328" w:lineRule="auto" w:before="58"/>
        <w:ind w:right="239"/>
        <w:rPr>
          <w:rFonts w:ascii="宋体" w:eastAsia="宋体" w:hint="eastAsia"/>
        </w:rPr>
      </w:pPr>
      <w:r>
        <w:rPr>
          <w:rFonts w:ascii="宋体" w:eastAsia="宋体" w:hint="eastAsia"/>
          <w:color w:val="333333"/>
          <w:spacing w:val="-15"/>
        </w:rPr>
        <w:t>位应当在规定的期限内改正并写出火灾隐患整改复函，报送公安</w:t>
      </w:r>
      <w:r>
        <w:rPr>
          <w:rFonts w:ascii="宋体" w:eastAsia="宋体" w:hint="eastAsia"/>
          <w:color w:val="333333"/>
          <w:spacing w:val="-12"/>
        </w:rPr>
        <w:t>消防机构。</w:t>
      </w:r>
    </w:p>
    <w:p>
      <w:pPr>
        <w:pStyle w:val="Heading2"/>
        <w:tabs>
          <w:tab w:pos="1126" w:val="left" w:leader="none"/>
        </w:tabs>
        <w:spacing w:line="316" w:lineRule="exact"/>
        <w:ind w:right="41"/>
      </w:pPr>
      <w:r>
        <w:rPr/>
        <w:t>第六章</w:t>
        <w:tab/>
        <w:t>消防安全宣传教育和培训</w:t>
      </w:r>
    </w:p>
    <w:p>
      <w:pPr>
        <w:pStyle w:val="BodyText"/>
        <w:spacing w:line="420" w:lineRule="exact" w:before="6"/>
        <w:ind w:right="227" w:firstLine="420"/>
        <w:jc w:val="both"/>
        <w:rPr>
          <w:rFonts w:ascii="宋体" w:eastAsia="宋体" w:hint="eastAsia"/>
        </w:rPr>
      </w:pPr>
      <w:r>
        <w:rPr>
          <w:rFonts w:ascii="Microsoft JhengHei" w:eastAsia="Microsoft JhengHei" w:hint="eastAsia"/>
          <w:b/>
          <w:color w:val="333333"/>
          <w:spacing w:val="-3"/>
        </w:rPr>
        <w:t>第三十六条 </w:t>
      </w:r>
      <w:r>
        <w:rPr>
          <w:rFonts w:ascii="宋体" w:eastAsia="宋体" w:hint="eastAsia"/>
          <w:color w:val="333333"/>
          <w:spacing w:val="-5"/>
        </w:rPr>
        <w:t>单位应当通过多种形式开展经常性的消防安</w:t>
      </w:r>
      <w:r>
        <w:rPr>
          <w:rFonts w:ascii="宋体" w:eastAsia="宋体" w:hint="eastAsia"/>
          <w:color w:val="333333"/>
          <w:spacing w:val="-18"/>
        </w:rPr>
        <w:t>全宣传教育。消防安全重点单位对每名员工应当至少每年进行一</w:t>
      </w:r>
      <w:r>
        <w:rPr>
          <w:rFonts w:ascii="宋体" w:eastAsia="宋体" w:hint="eastAsia"/>
          <w:color w:val="333333"/>
          <w:spacing w:val="-12"/>
        </w:rPr>
        <w:t>次消防安全培训。宣传教育和培训内容应当包括：</w:t>
      </w:r>
    </w:p>
    <w:p>
      <w:pPr>
        <w:pStyle w:val="BodyText"/>
        <w:spacing w:line="328" w:lineRule="auto" w:before="96"/>
        <w:ind w:right="240" w:firstLine="420"/>
        <w:rPr>
          <w:rFonts w:ascii="宋体" w:eastAsia="宋体" w:hint="eastAsia"/>
        </w:rPr>
      </w:pPr>
      <w:r>
        <w:rPr>
          <w:rFonts w:ascii="宋体" w:eastAsia="宋体" w:hint="eastAsia"/>
          <w:color w:val="333333"/>
          <w:spacing w:val="-13"/>
        </w:rPr>
        <w:t>(一)有关消防法规、消防安全制度和保障消防安全的操作规</w:t>
      </w:r>
      <w:r>
        <w:rPr>
          <w:rFonts w:ascii="宋体" w:eastAsia="宋体" w:hint="eastAsia"/>
          <w:color w:val="333333"/>
          <w:spacing w:val="-12"/>
        </w:rPr>
        <w:t>程；</w:t>
      </w:r>
    </w:p>
    <w:p>
      <w:pPr>
        <w:pStyle w:val="BodyText"/>
        <w:spacing w:line="305" w:lineRule="exact"/>
        <w:ind w:left="620"/>
        <w:rPr>
          <w:rFonts w:ascii="宋体" w:eastAsia="宋体" w:hint="eastAsia"/>
        </w:rPr>
      </w:pPr>
      <w:r>
        <w:rPr>
          <w:rFonts w:ascii="宋体" w:eastAsia="宋体" w:hint="eastAsia"/>
          <w:color w:val="333333"/>
        </w:rPr>
        <w:t>(二)本单位、本岗位的火灾危险性和防火措施；</w:t>
      </w:r>
    </w:p>
    <w:p>
      <w:pPr>
        <w:pStyle w:val="BodyText"/>
        <w:spacing w:before="112"/>
        <w:ind w:left="620"/>
        <w:rPr>
          <w:rFonts w:ascii="宋体" w:eastAsia="宋体" w:hint="eastAsia"/>
        </w:rPr>
      </w:pPr>
      <w:r>
        <w:rPr>
          <w:rFonts w:ascii="宋体" w:eastAsia="宋体" w:hint="eastAsia"/>
          <w:color w:val="333333"/>
        </w:rPr>
        <w:t>(三)有关消防设施的性能、灭火器材的使用方法；</w:t>
      </w:r>
    </w:p>
    <w:p>
      <w:pPr>
        <w:pStyle w:val="BodyText"/>
        <w:spacing w:line="328" w:lineRule="auto" w:before="113"/>
        <w:ind w:left="620" w:right="242"/>
        <w:rPr>
          <w:rFonts w:ascii="宋体" w:eastAsia="宋体" w:hint="eastAsia"/>
        </w:rPr>
      </w:pPr>
      <w:r>
        <w:rPr>
          <w:rFonts w:ascii="宋体" w:eastAsia="宋体" w:hint="eastAsia"/>
          <w:color w:val="333333"/>
          <w:spacing w:val="-12"/>
        </w:rPr>
        <w:t>(四)报火警、扑救初起火灾以及自救逃生的知识和技能。 </w:t>
      </w:r>
      <w:r>
        <w:rPr>
          <w:rFonts w:ascii="宋体" w:eastAsia="宋体" w:hint="eastAsia"/>
          <w:color w:val="333333"/>
          <w:spacing w:val="-13"/>
        </w:rPr>
        <w:t>公众聚集场所对员工的消防安全培训应当至少每半年进行一</w:t>
      </w:r>
    </w:p>
    <w:p>
      <w:pPr>
        <w:pStyle w:val="BodyText"/>
        <w:spacing w:line="328" w:lineRule="auto"/>
        <w:ind w:right="227"/>
        <w:rPr>
          <w:rFonts w:ascii="宋体" w:eastAsia="宋体" w:hint="eastAsia"/>
        </w:rPr>
      </w:pPr>
      <w:r>
        <w:rPr>
          <w:rFonts w:ascii="宋体" w:eastAsia="宋体" w:hint="eastAsia"/>
          <w:color w:val="333333"/>
          <w:spacing w:val="-19"/>
        </w:rPr>
        <w:t>次，培训的内容还应当包括组织、引导在场群众疏散的知识和技</w:t>
      </w:r>
      <w:r>
        <w:rPr>
          <w:rFonts w:ascii="宋体" w:eastAsia="宋体" w:hint="eastAsia"/>
          <w:color w:val="333333"/>
          <w:spacing w:val="-12"/>
        </w:rPr>
        <w:t>能。</w:t>
      </w:r>
    </w:p>
    <w:p>
      <w:pPr>
        <w:pStyle w:val="BodyText"/>
        <w:spacing w:line="328" w:lineRule="auto"/>
        <w:ind w:right="242" w:firstLine="420"/>
        <w:rPr>
          <w:rFonts w:ascii="宋体" w:eastAsia="宋体" w:hint="eastAsia"/>
        </w:rPr>
      </w:pPr>
      <w:r>
        <w:rPr>
          <w:rFonts w:ascii="宋体" w:eastAsia="宋体" w:hint="eastAsia"/>
          <w:color w:val="333333"/>
          <w:spacing w:val="-13"/>
        </w:rPr>
        <w:t>单位应当组织新上岗和进入新岗位的员工进行上岗前的消防</w:t>
      </w:r>
      <w:r>
        <w:rPr>
          <w:rFonts w:ascii="宋体" w:eastAsia="宋体" w:hint="eastAsia"/>
          <w:color w:val="333333"/>
          <w:spacing w:val="-12"/>
        </w:rPr>
        <w:t>安全培训。</w:t>
      </w:r>
    </w:p>
    <w:p>
      <w:pPr>
        <w:tabs>
          <w:tab w:pos="2032" w:val="left" w:leader="none"/>
        </w:tabs>
        <w:spacing w:line="360" w:lineRule="exact" w:before="0"/>
        <w:ind w:left="658" w:right="0" w:firstLine="0"/>
        <w:jc w:val="left"/>
        <w:rPr>
          <w:rFonts w:ascii="宋体" w:eastAsia="宋体" w:hint="eastAsia"/>
          <w:sz w:val="24"/>
        </w:rPr>
      </w:pPr>
      <w:r>
        <w:rPr>
          <w:rFonts w:ascii="Microsoft JhengHei" w:eastAsia="Microsoft JhengHei" w:hint="eastAsia"/>
          <w:b/>
          <w:color w:val="333333"/>
          <w:spacing w:val="-12"/>
          <w:sz w:val="24"/>
        </w:rPr>
        <w:t>第三</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七</w:t>
      </w:r>
      <w:r>
        <w:rPr>
          <w:rFonts w:ascii="Microsoft JhengHei" w:eastAsia="Microsoft JhengHei" w:hint="eastAsia"/>
          <w:b/>
          <w:color w:val="333333"/>
          <w:sz w:val="24"/>
        </w:rPr>
        <w:t>条</w:t>
        <w:tab/>
      </w:r>
      <w:r>
        <w:rPr>
          <w:rFonts w:ascii="宋体" w:eastAsia="宋体" w:hint="eastAsia"/>
          <w:color w:val="333333"/>
          <w:spacing w:val="-12"/>
          <w:sz w:val="24"/>
        </w:rPr>
        <w:t>公众聚集场所在营</w:t>
      </w:r>
      <w:r>
        <w:rPr>
          <w:rFonts w:ascii="宋体" w:eastAsia="宋体" w:hint="eastAsia"/>
          <w:color w:val="333333"/>
          <w:spacing w:val="-24"/>
          <w:sz w:val="24"/>
        </w:rPr>
        <w:t>业</w:t>
      </w:r>
      <w:r>
        <w:rPr>
          <w:rFonts w:ascii="宋体" w:eastAsia="宋体" w:hint="eastAsia"/>
          <w:color w:val="333333"/>
          <w:spacing w:val="-22"/>
          <w:sz w:val="24"/>
        </w:rPr>
        <w:t>、</w:t>
      </w:r>
      <w:r>
        <w:rPr>
          <w:rFonts w:ascii="宋体" w:eastAsia="宋体" w:hint="eastAsia"/>
          <w:color w:val="333333"/>
          <w:spacing w:val="-12"/>
          <w:sz w:val="24"/>
        </w:rPr>
        <w:t>活动期</w:t>
      </w:r>
      <w:r>
        <w:rPr>
          <w:rFonts w:ascii="宋体" w:eastAsia="宋体" w:hint="eastAsia"/>
          <w:color w:val="333333"/>
          <w:spacing w:val="-22"/>
          <w:sz w:val="24"/>
        </w:rPr>
        <w:t>间</w:t>
      </w:r>
      <w:r>
        <w:rPr>
          <w:rFonts w:ascii="宋体" w:eastAsia="宋体" w:hint="eastAsia"/>
          <w:color w:val="333333"/>
          <w:spacing w:val="-24"/>
          <w:sz w:val="24"/>
        </w:rPr>
        <w:t>，</w:t>
      </w:r>
      <w:r>
        <w:rPr>
          <w:rFonts w:ascii="宋体" w:eastAsia="宋体" w:hint="eastAsia"/>
          <w:color w:val="333333"/>
          <w:spacing w:val="-12"/>
          <w:sz w:val="24"/>
        </w:rPr>
        <w:t>应当通过张</w:t>
      </w:r>
    </w:p>
    <w:p>
      <w:pPr>
        <w:pStyle w:val="BodyText"/>
        <w:spacing w:line="328" w:lineRule="auto" w:before="53"/>
        <w:ind w:right="227"/>
        <w:rPr>
          <w:rFonts w:ascii="宋体" w:eastAsia="宋体" w:hint="eastAsia"/>
        </w:rPr>
      </w:pPr>
      <w:r>
        <w:rPr>
          <w:rFonts w:ascii="宋体" w:eastAsia="宋体" w:hint="eastAsia"/>
          <w:color w:val="333333"/>
          <w:spacing w:val="-17"/>
        </w:rPr>
        <w:t>贴图画、广播、闭路电视等向公众宣传防火、灭火、疏散逃生等</w:t>
      </w:r>
      <w:r>
        <w:rPr>
          <w:rFonts w:ascii="宋体" w:eastAsia="宋体" w:hint="eastAsia"/>
          <w:color w:val="333333"/>
          <w:spacing w:val="-12"/>
        </w:rPr>
        <w:t>常识。</w:t>
      </w:r>
    </w:p>
    <w:p>
      <w:pPr>
        <w:spacing w:after="0" w:line="328" w:lineRule="auto"/>
        <w:rPr>
          <w:rFonts w:ascii="宋体" w:eastAsia="宋体" w:hint="eastAsia"/>
        </w:rPr>
        <w:sectPr>
          <w:pgSz w:w="8400" w:h="11910"/>
          <w:pgMar w:header="0" w:footer="870" w:top="1100" w:bottom="1060" w:left="820" w:right="780"/>
        </w:sectPr>
      </w:pPr>
    </w:p>
    <w:p>
      <w:pPr>
        <w:pStyle w:val="BodyText"/>
        <w:spacing w:line="312" w:lineRule="auto" w:before="127"/>
        <w:ind w:right="242" w:firstLine="420"/>
        <w:rPr>
          <w:rFonts w:ascii="宋体" w:eastAsia="宋体" w:hint="eastAsia"/>
        </w:rPr>
      </w:pPr>
      <w:r>
        <w:rPr>
          <w:rFonts w:ascii="宋体" w:eastAsia="宋体" w:hint="eastAsia"/>
          <w:color w:val="333333"/>
          <w:spacing w:val="-13"/>
        </w:rPr>
        <w:t>学校、幼儿园应当通过寓教于乐等多种形式对学生和幼儿进</w:t>
      </w:r>
      <w:r>
        <w:rPr>
          <w:rFonts w:ascii="宋体" w:eastAsia="宋体" w:hint="eastAsia"/>
          <w:color w:val="333333"/>
          <w:spacing w:val="-12"/>
        </w:rPr>
        <w:t>行消防安全常识教育。</w:t>
      </w:r>
    </w:p>
    <w:p>
      <w:pPr>
        <w:tabs>
          <w:tab w:pos="1993" w:val="left" w:leader="none"/>
        </w:tabs>
        <w:spacing w:line="364" w:lineRule="exact" w:before="0"/>
        <w:ind w:left="620" w:right="0" w:firstLine="0"/>
        <w:jc w:val="left"/>
        <w:rPr>
          <w:rFonts w:ascii="宋体" w:eastAsia="宋体" w:hint="eastAsia"/>
          <w:sz w:val="24"/>
        </w:rPr>
      </w:pPr>
      <w:r>
        <w:rPr>
          <w:rFonts w:ascii="Microsoft JhengHei" w:eastAsia="Microsoft JhengHei" w:hint="eastAsia"/>
          <w:b/>
          <w:color w:val="333333"/>
          <w:spacing w:val="-12"/>
          <w:sz w:val="24"/>
        </w:rPr>
        <w:t>第三</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八</w:t>
      </w:r>
      <w:r>
        <w:rPr>
          <w:rFonts w:ascii="Microsoft JhengHei" w:eastAsia="Microsoft JhengHei" w:hint="eastAsia"/>
          <w:b/>
          <w:color w:val="333333"/>
          <w:sz w:val="24"/>
        </w:rPr>
        <w:t>条</w:t>
        <w:tab/>
      </w:r>
      <w:r>
        <w:rPr>
          <w:rFonts w:ascii="宋体" w:eastAsia="宋体" w:hint="eastAsia"/>
          <w:color w:val="333333"/>
          <w:spacing w:val="-12"/>
          <w:sz w:val="24"/>
        </w:rPr>
        <w:t>下列人员应当接受消防安全专门培训：</w:t>
      </w:r>
    </w:p>
    <w:p>
      <w:pPr>
        <w:pStyle w:val="BodyText"/>
        <w:spacing w:line="312" w:lineRule="auto" w:before="37"/>
        <w:ind w:left="620" w:right="1382"/>
        <w:rPr>
          <w:rFonts w:ascii="宋体" w:eastAsia="宋体" w:hint="eastAsia"/>
        </w:rPr>
      </w:pPr>
      <w:r>
        <w:rPr>
          <w:rFonts w:ascii="宋体" w:eastAsia="宋体" w:hint="eastAsia"/>
          <w:color w:val="333333"/>
          <w:spacing w:val="-13"/>
        </w:rPr>
        <w:t>(一)单位的消防安全责任人、消防安全管理人； </w:t>
      </w:r>
      <w:r>
        <w:rPr>
          <w:rFonts w:ascii="宋体" w:eastAsia="宋体" w:hint="eastAsia"/>
          <w:color w:val="333333"/>
          <w:spacing w:val="-12"/>
        </w:rPr>
        <w:t>(二)专、兼职消防管理人员；</w:t>
      </w:r>
    </w:p>
    <w:p>
      <w:pPr>
        <w:pStyle w:val="BodyText"/>
        <w:spacing w:before="2"/>
        <w:ind w:left="620"/>
        <w:rPr>
          <w:rFonts w:ascii="宋体" w:eastAsia="宋体" w:hint="eastAsia"/>
        </w:rPr>
      </w:pPr>
      <w:r>
        <w:rPr>
          <w:rFonts w:ascii="宋体" w:eastAsia="宋体" w:hint="eastAsia"/>
          <w:color w:val="333333"/>
        </w:rPr>
        <w:t>(三)消防控制室的值班、操作人员；</w:t>
      </w:r>
    </w:p>
    <w:p>
      <w:pPr>
        <w:pStyle w:val="BodyText"/>
        <w:spacing w:line="314" w:lineRule="auto" w:before="91"/>
        <w:ind w:left="620" w:right="698"/>
        <w:rPr>
          <w:rFonts w:ascii="宋体" w:eastAsia="宋体" w:hint="eastAsia"/>
        </w:rPr>
      </w:pPr>
      <w:r>
        <w:rPr>
          <w:rFonts w:ascii="宋体" w:eastAsia="宋体" w:hint="eastAsia"/>
          <w:color w:val="333333"/>
          <w:spacing w:val="-13"/>
        </w:rPr>
        <w:t>(四)其他依照规定应当接受消防安全专门培训的人员。前款规定中的第(三)项人员应当持证上岗。</w:t>
      </w:r>
    </w:p>
    <w:p>
      <w:pPr>
        <w:pStyle w:val="Heading2"/>
        <w:tabs>
          <w:tab w:pos="1126" w:val="left" w:leader="none"/>
        </w:tabs>
        <w:spacing w:before="110"/>
        <w:ind w:right="39"/>
      </w:pPr>
      <w:r>
        <w:rPr/>
        <w:t>第七章</w:t>
        <w:tab/>
        <w:t>灭火、应急疏散预案和演练</w:t>
      </w:r>
    </w:p>
    <w:p>
      <w:pPr>
        <w:pStyle w:val="BodyText"/>
        <w:spacing w:before="3"/>
        <w:ind w:left="0"/>
        <w:rPr>
          <w:b/>
          <w:sz w:val="41"/>
        </w:rPr>
      </w:pPr>
    </w:p>
    <w:p>
      <w:pPr>
        <w:pStyle w:val="BodyText"/>
        <w:tabs>
          <w:tab w:pos="2051" w:val="left" w:leader="none"/>
        </w:tabs>
        <w:spacing w:line="259" w:lineRule="auto"/>
        <w:ind w:right="227" w:firstLine="420"/>
        <w:rPr>
          <w:rFonts w:ascii="宋体" w:eastAsia="宋体" w:hint="eastAsia"/>
        </w:rPr>
      </w:pPr>
      <w:r>
        <w:rPr>
          <w:rFonts w:ascii="Microsoft JhengHei" w:eastAsia="Microsoft JhengHei" w:hint="eastAsia"/>
          <w:b/>
          <w:color w:val="333333"/>
          <w:spacing w:val="-3"/>
        </w:rPr>
        <w:t>第三十九</w:t>
      </w:r>
      <w:r>
        <w:rPr>
          <w:rFonts w:ascii="Microsoft JhengHei" w:eastAsia="Microsoft JhengHei" w:hint="eastAsia"/>
          <w:b/>
          <w:color w:val="333333"/>
        </w:rPr>
        <w:t>条</w:t>
        <w:tab/>
      </w:r>
      <w:r>
        <w:rPr>
          <w:rFonts w:ascii="宋体" w:eastAsia="宋体" w:hint="eastAsia"/>
          <w:color w:val="333333"/>
          <w:spacing w:val="-3"/>
        </w:rPr>
        <w:t>消</w:t>
      </w:r>
      <w:r>
        <w:rPr>
          <w:rFonts w:ascii="宋体" w:eastAsia="宋体" w:hint="eastAsia"/>
          <w:color w:val="333333"/>
          <w:spacing w:val="-5"/>
        </w:rPr>
        <w:t>防</w:t>
      </w:r>
      <w:r>
        <w:rPr>
          <w:rFonts w:ascii="宋体" w:eastAsia="宋体" w:hint="eastAsia"/>
          <w:color w:val="333333"/>
          <w:spacing w:val="-3"/>
        </w:rPr>
        <w:t>安全重点单位</w:t>
      </w:r>
      <w:r>
        <w:rPr>
          <w:rFonts w:ascii="宋体" w:eastAsia="宋体" w:hint="eastAsia"/>
          <w:color w:val="333333"/>
          <w:spacing w:val="-5"/>
        </w:rPr>
        <w:t>制</w:t>
      </w:r>
      <w:r>
        <w:rPr>
          <w:rFonts w:ascii="宋体" w:eastAsia="宋体" w:hint="eastAsia"/>
          <w:color w:val="333333"/>
          <w:spacing w:val="-3"/>
        </w:rPr>
        <w:t>定的灭火和应急疏散</w:t>
      </w:r>
      <w:r>
        <w:rPr>
          <w:rFonts w:ascii="宋体" w:eastAsia="宋体" w:hint="eastAsia"/>
          <w:color w:val="333333"/>
        </w:rPr>
        <w:t>预</w:t>
      </w:r>
      <w:r>
        <w:rPr>
          <w:rFonts w:ascii="宋体" w:eastAsia="宋体" w:hint="eastAsia"/>
          <w:color w:val="333333"/>
          <w:spacing w:val="-12"/>
        </w:rPr>
        <w:t>案应当包括下列内容：</w:t>
      </w:r>
    </w:p>
    <w:p>
      <w:pPr>
        <w:pStyle w:val="BodyText"/>
        <w:spacing w:line="312" w:lineRule="auto" w:before="70"/>
        <w:ind w:right="242" w:firstLine="420"/>
        <w:rPr>
          <w:rFonts w:ascii="宋体" w:eastAsia="宋体" w:hint="eastAsia"/>
        </w:rPr>
      </w:pPr>
      <w:r>
        <w:rPr>
          <w:rFonts w:ascii="宋体" w:eastAsia="宋体" w:hint="eastAsia"/>
          <w:color w:val="333333"/>
          <w:spacing w:val="-13"/>
        </w:rPr>
        <w:t>(一)组织机构，包括：灭火行动组、通讯联络组、疏散引导</w:t>
      </w:r>
      <w:r>
        <w:rPr>
          <w:rFonts w:ascii="宋体" w:eastAsia="宋体" w:hint="eastAsia"/>
          <w:color w:val="333333"/>
          <w:spacing w:val="-12"/>
        </w:rPr>
        <w:t>组、安全防护救护组；</w:t>
      </w:r>
    </w:p>
    <w:p>
      <w:pPr>
        <w:pStyle w:val="BodyText"/>
        <w:ind w:left="620"/>
        <w:rPr>
          <w:rFonts w:ascii="宋体" w:eastAsia="宋体" w:hint="eastAsia"/>
        </w:rPr>
      </w:pPr>
      <w:r>
        <w:rPr>
          <w:rFonts w:ascii="宋体" w:eastAsia="宋体" w:hint="eastAsia"/>
          <w:color w:val="333333"/>
        </w:rPr>
        <w:t>(二)报警和接警处臵程序；</w:t>
      </w:r>
    </w:p>
    <w:p>
      <w:pPr>
        <w:pStyle w:val="BodyText"/>
        <w:spacing w:line="312" w:lineRule="auto" w:before="93"/>
        <w:ind w:left="620" w:right="2716"/>
        <w:rPr>
          <w:rFonts w:ascii="宋体" w:eastAsia="宋体" w:hint="eastAsia"/>
        </w:rPr>
      </w:pPr>
      <w:r>
        <w:rPr>
          <w:rFonts w:ascii="宋体" w:eastAsia="宋体" w:hint="eastAsia"/>
          <w:color w:val="333333"/>
          <w:spacing w:val="-13"/>
        </w:rPr>
        <w:t>(三)应急疏散的组织程序和措施； </w:t>
      </w:r>
      <w:r>
        <w:rPr>
          <w:rFonts w:ascii="宋体" w:eastAsia="宋体" w:hint="eastAsia"/>
          <w:color w:val="333333"/>
          <w:spacing w:val="-12"/>
        </w:rPr>
        <w:t>(四)扑救初起火灾的程序和措施；</w:t>
      </w:r>
    </w:p>
    <w:p>
      <w:pPr>
        <w:pStyle w:val="BodyText"/>
        <w:spacing w:line="307" w:lineRule="exact"/>
        <w:ind w:left="620"/>
        <w:rPr>
          <w:rFonts w:ascii="宋体" w:eastAsia="宋体" w:hint="eastAsia"/>
        </w:rPr>
      </w:pPr>
      <w:r>
        <w:rPr>
          <w:rFonts w:ascii="宋体" w:eastAsia="宋体" w:hint="eastAsia"/>
          <w:color w:val="333333"/>
        </w:rPr>
        <w:t>(五)通讯联络、安全防护救护的程序和措施。</w:t>
      </w:r>
    </w:p>
    <w:p>
      <w:pPr>
        <w:pStyle w:val="BodyText"/>
        <w:tabs>
          <w:tab w:pos="1811" w:val="left" w:leader="none"/>
        </w:tabs>
        <w:spacing w:before="14"/>
        <w:ind w:firstLine="420"/>
        <w:rPr>
          <w:rFonts w:ascii="宋体" w:eastAsia="宋体" w:hint="eastAsia"/>
        </w:rPr>
      </w:pPr>
      <w:r>
        <w:rPr>
          <w:rFonts w:ascii="Microsoft JhengHei" w:eastAsia="Microsoft JhengHei" w:hint="eastAsia"/>
          <w:b/>
          <w:color w:val="333333"/>
          <w:spacing w:val="-3"/>
        </w:rPr>
        <w:t>第四十</w:t>
      </w:r>
      <w:r>
        <w:rPr>
          <w:rFonts w:ascii="Microsoft JhengHei" w:eastAsia="Microsoft JhengHei" w:hint="eastAsia"/>
          <w:b/>
          <w:color w:val="333333"/>
        </w:rPr>
        <w:t>条</w:t>
        <w:tab/>
      </w:r>
      <w:r>
        <w:rPr>
          <w:rFonts w:ascii="宋体" w:eastAsia="宋体" w:hint="eastAsia"/>
          <w:color w:val="333333"/>
          <w:spacing w:val="-3"/>
        </w:rPr>
        <w:t>消防安全重点单位应当</w:t>
      </w:r>
      <w:r>
        <w:rPr>
          <w:rFonts w:ascii="宋体" w:eastAsia="宋体" w:hint="eastAsia"/>
          <w:color w:val="333333"/>
          <w:spacing w:val="-5"/>
        </w:rPr>
        <w:t>按</w:t>
      </w:r>
      <w:r>
        <w:rPr>
          <w:rFonts w:ascii="宋体" w:eastAsia="宋体" w:hint="eastAsia"/>
          <w:color w:val="333333"/>
          <w:spacing w:val="-3"/>
        </w:rPr>
        <w:t>照灭火和应急疏散预</w:t>
      </w:r>
    </w:p>
    <w:p>
      <w:pPr>
        <w:pStyle w:val="BodyText"/>
        <w:spacing w:line="312" w:lineRule="auto" w:before="39"/>
        <w:ind w:right="227"/>
        <w:jc w:val="both"/>
        <w:rPr>
          <w:rFonts w:ascii="宋体" w:eastAsia="宋体" w:hint="eastAsia"/>
        </w:rPr>
      </w:pPr>
      <w:r>
        <w:rPr>
          <w:rFonts w:ascii="宋体" w:eastAsia="宋体" w:hint="eastAsia"/>
          <w:color w:val="333333"/>
          <w:spacing w:val="-17"/>
        </w:rPr>
        <w:t>案，至少每半年进行一次演练，并结合实际，不断完善预案。其</w:t>
      </w:r>
      <w:r>
        <w:rPr>
          <w:rFonts w:ascii="宋体" w:eastAsia="宋体" w:hint="eastAsia"/>
          <w:color w:val="333333"/>
          <w:spacing w:val="-16"/>
        </w:rPr>
        <w:t>他单位应当结合本单位实际，参照制定相应的应急方案，至少每年组织一次演练。</w:t>
      </w:r>
    </w:p>
    <w:p>
      <w:pPr>
        <w:pStyle w:val="BodyText"/>
        <w:spacing w:before="1"/>
        <w:ind w:left="620"/>
        <w:rPr>
          <w:rFonts w:ascii="宋体" w:eastAsia="宋体" w:hint="eastAsia"/>
        </w:rPr>
      </w:pPr>
      <w:r>
        <w:rPr>
          <w:rFonts w:ascii="宋体" w:eastAsia="宋体" w:hint="eastAsia"/>
          <w:color w:val="333333"/>
          <w:spacing w:val="-31"/>
        </w:rPr>
        <w:t>消防演练时，应当设臵明显标识并事先告知演练范围内的人员。</w:t>
      </w:r>
    </w:p>
    <w:p>
      <w:pPr>
        <w:spacing w:after="0"/>
        <w:rPr>
          <w:rFonts w:ascii="宋体" w:eastAsia="宋体" w:hint="eastAsia"/>
        </w:rPr>
        <w:sectPr>
          <w:pgSz w:w="8400" w:h="11910"/>
          <w:pgMar w:header="0" w:footer="870" w:top="1100" w:bottom="1060" w:left="820" w:right="780"/>
        </w:sectPr>
      </w:pPr>
    </w:p>
    <w:p>
      <w:pPr>
        <w:pStyle w:val="Heading2"/>
        <w:tabs>
          <w:tab w:pos="1125" w:val="left" w:leader="none"/>
        </w:tabs>
        <w:spacing w:before="121"/>
        <w:ind w:right="40"/>
      </w:pPr>
      <w:r>
        <w:rPr/>
        <w:t>第八章</w:t>
        <w:tab/>
        <w:t>消防档案</w:t>
      </w:r>
    </w:p>
    <w:p>
      <w:pPr>
        <w:pStyle w:val="BodyText"/>
        <w:tabs>
          <w:tab w:pos="1993" w:val="left" w:leader="none"/>
        </w:tabs>
        <w:spacing w:line="259" w:lineRule="auto" w:before="130"/>
        <w:ind w:right="229" w:firstLine="420"/>
        <w:rPr>
          <w:rFonts w:ascii="宋体" w:eastAsia="宋体" w:hint="eastAsia"/>
        </w:rPr>
      </w:pPr>
      <w:r>
        <w:rPr>
          <w:rFonts w:ascii="Microsoft JhengHei" w:eastAsia="Microsoft JhengHei" w:hint="eastAsia"/>
          <w:b/>
          <w:color w:val="333333"/>
          <w:spacing w:val="-12"/>
        </w:rPr>
        <w:t>第四</w:t>
      </w:r>
      <w:r>
        <w:rPr>
          <w:rFonts w:ascii="Microsoft JhengHei" w:eastAsia="Microsoft JhengHei" w:hint="eastAsia"/>
          <w:b/>
          <w:color w:val="333333"/>
          <w:spacing w:val="-10"/>
        </w:rPr>
        <w:t>十</w:t>
      </w:r>
      <w:r>
        <w:rPr>
          <w:rFonts w:ascii="Microsoft JhengHei" w:eastAsia="Microsoft JhengHei" w:hint="eastAsia"/>
          <w:b/>
          <w:color w:val="333333"/>
          <w:spacing w:val="-12"/>
        </w:rPr>
        <w:t>一</w:t>
      </w:r>
      <w:r>
        <w:rPr>
          <w:rFonts w:ascii="Microsoft JhengHei" w:eastAsia="Microsoft JhengHei" w:hint="eastAsia"/>
          <w:b/>
          <w:color w:val="333333"/>
        </w:rPr>
        <w:t>条</w:t>
        <w:tab/>
      </w:r>
      <w:r>
        <w:rPr>
          <w:rFonts w:ascii="宋体" w:eastAsia="宋体" w:hint="eastAsia"/>
          <w:color w:val="333333"/>
          <w:spacing w:val="-12"/>
        </w:rPr>
        <w:t>消防安全重点单位应当建立健全消防档</w:t>
      </w:r>
      <w:r>
        <w:rPr>
          <w:rFonts w:ascii="宋体" w:eastAsia="宋体" w:hint="eastAsia"/>
          <w:color w:val="333333"/>
          <w:spacing w:val="-15"/>
        </w:rPr>
        <w:t>案。</w:t>
      </w:r>
      <w:r>
        <w:rPr>
          <w:rFonts w:ascii="宋体" w:eastAsia="宋体" w:hint="eastAsia"/>
          <w:color w:val="333333"/>
          <w:spacing w:val="-16"/>
        </w:rPr>
        <w:t>消</w:t>
      </w:r>
      <w:r>
        <w:rPr>
          <w:rFonts w:ascii="宋体" w:eastAsia="宋体" w:hint="eastAsia"/>
          <w:color w:val="333333"/>
          <w:spacing w:val="-12"/>
        </w:rPr>
        <w:t>防档案应当包括消防安全基本情况和消防安全管理情</w:t>
      </w:r>
      <w:r>
        <w:rPr>
          <w:rFonts w:ascii="宋体" w:eastAsia="宋体" w:hint="eastAsia"/>
          <w:color w:val="333333"/>
          <w:spacing w:val="-29"/>
        </w:rPr>
        <w:t>况。</w:t>
      </w:r>
      <w:r>
        <w:rPr>
          <w:rFonts w:ascii="宋体" w:eastAsia="宋体" w:hint="eastAsia"/>
          <w:color w:val="333333"/>
          <w:spacing w:val="-12"/>
        </w:rPr>
        <w:t>消防档</w:t>
      </w:r>
    </w:p>
    <w:p>
      <w:pPr>
        <w:pStyle w:val="BodyText"/>
        <w:spacing w:line="312" w:lineRule="auto" w:before="70"/>
        <w:ind w:right="230"/>
        <w:rPr>
          <w:rFonts w:ascii="宋体" w:eastAsia="宋体" w:hint="eastAsia"/>
        </w:rPr>
      </w:pPr>
      <w:r>
        <w:rPr>
          <w:rFonts w:ascii="宋体" w:eastAsia="宋体" w:hint="eastAsia"/>
          <w:color w:val="333333"/>
          <w:spacing w:val="-18"/>
        </w:rPr>
        <w:t>案应当详实，全面反映单位消防工作的基本情况，并附有必要的</w:t>
      </w:r>
      <w:r>
        <w:rPr>
          <w:rFonts w:ascii="宋体" w:eastAsia="宋体" w:hint="eastAsia"/>
          <w:color w:val="333333"/>
          <w:spacing w:val="-13"/>
        </w:rPr>
        <w:t>图表，根据情况变化及时更新。</w:t>
      </w:r>
    </w:p>
    <w:p>
      <w:pPr>
        <w:pStyle w:val="BodyText"/>
        <w:spacing w:line="307" w:lineRule="exact"/>
        <w:ind w:left="620"/>
        <w:rPr>
          <w:rFonts w:ascii="宋体" w:eastAsia="宋体" w:hint="eastAsia"/>
        </w:rPr>
      </w:pPr>
      <w:r>
        <w:rPr>
          <w:rFonts w:ascii="宋体" w:eastAsia="宋体" w:hint="eastAsia"/>
          <w:color w:val="333333"/>
        </w:rPr>
        <w:t>单位应当对消防档案统一保管、备查。</w:t>
      </w:r>
    </w:p>
    <w:p>
      <w:pPr>
        <w:pStyle w:val="BodyText"/>
        <w:spacing w:line="261" w:lineRule="auto" w:before="14"/>
        <w:ind w:left="620" w:right="985"/>
        <w:rPr>
          <w:rFonts w:ascii="宋体" w:eastAsia="宋体" w:hint="eastAsia"/>
        </w:rPr>
      </w:pPr>
      <w:r>
        <w:rPr>
          <w:rFonts w:ascii="Microsoft JhengHei" w:eastAsia="Microsoft JhengHei" w:hint="eastAsia"/>
          <w:b/>
          <w:color w:val="333333"/>
          <w:spacing w:val="-2"/>
        </w:rPr>
        <w:t>第四十二条 </w:t>
      </w:r>
      <w:r>
        <w:rPr>
          <w:rFonts w:ascii="宋体" w:eastAsia="宋体" w:hint="eastAsia"/>
          <w:color w:val="333333"/>
          <w:spacing w:val="-13"/>
        </w:rPr>
        <w:t>消防安全基本情况应当包括以下内容： </w:t>
      </w:r>
      <w:r>
        <w:rPr>
          <w:rFonts w:ascii="宋体" w:eastAsia="宋体" w:hint="eastAsia"/>
          <w:color w:val="333333"/>
          <w:spacing w:val="-12"/>
        </w:rPr>
        <w:t>(一)单位基本概况和消防安全重点部位情况；</w:t>
      </w:r>
    </w:p>
    <w:p>
      <w:pPr>
        <w:pStyle w:val="BodyText"/>
        <w:spacing w:line="312" w:lineRule="auto" w:before="62"/>
        <w:ind w:right="165" w:firstLine="420"/>
        <w:rPr>
          <w:rFonts w:ascii="宋体" w:eastAsia="宋体" w:hint="eastAsia"/>
        </w:rPr>
      </w:pPr>
      <w:r>
        <w:rPr>
          <w:rFonts w:ascii="宋体" w:eastAsia="宋体" w:hint="eastAsia"/>
          <w:color w:val="333333"/>
        </w:rPr>
        <w:t>(二)建筑物或者场所施工、使用或者开业前的消防设计审核、消防验收以及消防安全检查的文件、资料；</w:t>
      </w:r>
    </w:p>
    <w:p>
      <w:pPr>
        <w:pStyle w:val="BodyText"/>
        <w:spacing w:line="312" w:lineRule="auto" w:before="3"/>
        <w:ind w:left="620" w:right="1382"/>
        <w:rPr>
          <w:rFonts w:ascii="宋体" w:eastAsia="宋体" w:hint="eastAsia"/>
        </w:rPr>
      </w:pPr>
      <w:r>
        <w:rPr>
          <w:rFonts w:ascii="宋体" w:eastAsia="宋体" w:hint="eastAsia"/>
          <w:color w:val="333333"/>
          <w:spacing w:val="-13"/>
        </w:rPr>
        <w:t>(三)消防管理组织机构和各级消防安全责任人； </w:t>
      </w:r>
      <w:r>
        <w:rPr>
          <w:rFonts w:ascii="宋体" w:eastAsia="宋体" w:hint="eastAsia"/>
          <w:color w:val="333333"/>
          <w:spacing w:val="-12"/>
        </w:rPr>
        <w:t>(四)消防安全制度；</w:t>
      </w:r>
    </w:p>
    <w:p>
      <w:pPr>
        <w:pStyle w:val="BodyText"/>
        <w:spacing w:line="307" w:lineRule="exact"/>
        <w:ind w:left="620"/>
        <w:rPr>
          <w:rFonts w:ascii="宋体" w:eastAsia="宋体" w:hint="eastAsia"/>
        </w:rPr>
      </w:pPr>
      <w:r>
        <w:rPr>
          <w:rFonts w:ascii="宋体" w:eastAsia="宋体" w:hint="eastAsia"/>
          <w:color w:val="333333"/>
        </w:rPr>
        <w:t>(五)消防设施、灭火器材情况；</w:t>
      </w:r>
    </w:p>
    <w:p>
      <w:pPr>
        <w:pStyle w:val="BodyText"/>
        <w:spacing w:line="312" w:lineRule="auto" w:before="93"/>
        <w:ind w:left="620" w:right="227"/>
        <w:rPr>
          <w:rFonts w:ascii="宋体" w:eastAsia="宋体" w:hint="eastAsia"/>
        </w:rPr>
      </w:pPr>
      <w:r>
        <w:rPr>
          <w:rFonts w:ascii="宋体" w:eastAsia="宋体" w:hint="eastAsia"/>
          <w:color w:val="333333"/>
          <w:spacing w:val="-13"/>
        </w:rPr>
        <w:t>(六)专职消防队、义务消防队人员及其消防装备配备情况； </w:t>
      </w:r>
      <w:r>
        <w:rPr>
          <w:rFonts w:ascii="宋体" w:eastAsia="宋体" w:hint="eastAsia"/>
          <w:color w:val="333333"/>
          <w:spacing w:val="-12"/>
        </w:rPr>
        <w:t>(七)与消防安全有关的重点工种人员情况；</w:t>
      </w:r>
    </w:p>
    <w:p>
      <w:pPr>
        <w:pStyle w:val="BodyText"/>
        <w:spacing w:line="312" w:lineRule="auto"/>
        <w:ind w:left="620" w:right="1382"/>
        <w:rPr>
          <w:rFonts w:ascii="宋体" w:eastAsia="宋体" w:hint="eastAsia"/>
        </w:rPr>
      </w:pPr>
      <w:r>
        <w:rPr>
          <w:rFonts w:ascii="宋体" w:eastAsia="宋体" w:hint="eastAsia"/>
          <w:color w:val="333333"/>
          <w:spacing w:val="-13"/>
        </w:rPr>
        <w:t>(八)新增消防产品、防火材料的合格证明材料； </w:t>
      </w:r>
      <w:r>
        <w:rPr>
          <w:rFonts w:ascii="宋体" w:eastAsia="宋体" w:hint="eastAsia"/>
          <w:color w:val="333333"/>
          <w:spacing w:val="-12"/>
        </w:rPr>
        <w:t>(九)灭火和应急疏散预案。</w:t>
      </w:r>
    </w:p>
    <w:p>
      <w:pPr>
        <w:tabs>
          <w:tab w:pos="1993" w:val="left" w:leader="none"/>
        </w:tabs>
        <w:spacing w:line="362" w:lineRule="exact" w:before="0"/>
        <w:ind w:left="620" w:right="0" w:firstLine="0"/>
        <w:jc w:val="left"/>
        <w:rPr>
          <w:rFonts w:ascii="宋体" w:eastAsia="宋体" w:hint="eastAsia"/>
          <w:sz w:val="24"/>
        </w:rPr>
      </w:pPr>
      <w:r>
        <w:rPr>
          <w:rFonts w:ascii="Microsoft JhengHei" w:eastAsia="Microsoft JhengHei" w:hint="eastAsia"/>
          <w:b/>
          <w:color w:val="333333"/>
          <w:spacing w:val="-12"/>
          <w:sz w:val="24"/>
        </w:rPr>
        <w:t>第四</w:t>
      </w:r>
      <w:r>
        <w:rPr>
          <w:rFonts w:ascii="Microsoft JhengHei" w:eastAsia="Microsoft JhengHei" w:hint="eastAsia"/>
          <w:b/>
          <w:color w:val="333333"/>
          <w:spacing w:val="-10"/>
          <w:sz w:val="24"/>
        </w:rPr>
        <w:t>十</w:t>
      </w:r>
      <w:r>
        <w:rPr>
          <w:rFonts w:ascii="Microsoft JhengHei" w:eastAsia="Microsoft JhengHei" w:hint="eastAsia"/>
          <w:b/>
          <w:color w:val="333333"/>
          <w:spacing w:val="-12"/>
          <w:sz w:val="24"/>
        </w:rPr>
        <w:t>三</w:t>
      </w:r>
      <w:r>
        <w:rPr>
          <w:rFonts w:ascii="Microsoft JhengHei" w:eastAsia="Microsoft JhengHei" w:hint="eastAsia"/>
          <w:b/>
          <w:color w:val="333333"/>
          <w:sz w:val="24"/>
        </w:rPr>
        <w:t>条</w:t>
        <w:tab/>
      </w:r>
      <w:r>
        <w:rPr>
          <w:rFonts w:ascii="宋体" w:eastAsia="宋体" w:hint="eastAsia"/>
          <w:color w:val="333333"/>
          <w:spacing w:val="-12"/>
          <w:sz w:val="24"/>
        </w:rPr>
        <w:t>消防安全管理情况应当包括以下内容：</w:t>
      </w:r>
    </w:p>
    <w:p>
      <w:pPr>
        <w:pStyle w:val="BodyText"/>
        <w:spacing w:before="39"/>
        <w:ind w:left="620"/>
        <w:rPr>
          <w:rFonts w:ascii="宋体" w:eastAsia="宋体" w:hint="eastAsia"/>
        </w:rPr>
      </w:pPr>
      <w:r>
        <w:rPr>
          <w:rFonts w:ascii="宋体" w:eastAsia="宋体" w:hint="eastAsia"/>
          <w:color w:val="333333"/>
        </w:rPr>
        <w:t>(一)公安消防机构填发的各种法律文书；</w:t>
      </w:r>
    </w:p>
    <w:p>
      <w:pPr>
        <w:pStyle w:val="BodyText"/>
        <w:spacing w:line="312" w:lineRule="auto" w:before="93"/>
        <w:ind w:right="242" w:firstLine="420"/>
        <w:rPr>
          <w:rFonts w:ascii="宋体" w:eastAsia="宋体" w:hint="eastAsia"/>
        </w:rPr>
      </w:pPr>
      <w:r>
        <w:rPr>
          <w:rFonts w:ascii="宋体" w:eastAsia="宋体" w:hint="eastAsia"/>
          <w:color w:val="333333"/>
          <w:spacing w:val="-13"/>
        </w:rPr>
        <w:t>(二)消防设施定期检查记录、自动消防设施全面检查测试的</w:t>
      </w:r>
      <w:r>
        <w:rPr>
          <w:rFonts w:ascii="宋体" w:eastAsia="宋体" w:hint="eastAsia"/>
          <w:color w:val="333333"/>
          <w:spacing w:val="-12"/>
        </w:rPr>
        <w:t>报告以及维修保养的记录；</w:t>
      </w:r>
    </w:p>
    <w:p>
      <w:pPr>
        <w:pStyle w:val="BodyText"/>
        <w:spacing w:line="312" w:lineRule="auto"/>
        <w:ind w:left="620" w:right="2716"/>
        <w:rPr>
          <w:rFonts w:ascii="宋体" w:eastAsia="宋体" w:hint="eastAsia"/>
        </w:rPr>
      </w:pPr>
      <w:r>
        <w:rPr>
          <w:rFonts w:ascii="宋体" w:eastAsia="宋体" w:hint="eastAsia"/>
          <w:color w:val="333333"/>
          <w:spacing w:val="-14"/>
        </w:rPr>
        <w:t>(三)火灾隐患及其整改情况记录； </w:t>
      </w:r>
      <w:r>
        <w:rPr>
          <w:rFonts w:ascii="宋体" w:eastAsia="宋体" w:hint="eastAsia"/>
          <w:color w:val="333333"/>
          <w:spacing w:val="-12"/>
        </w:rPr>
        <w:t>(四)防火检查、巡查记录；</w:t>
      </w:r>
    </w:p>
    <w:p>
      <w:pPr>
        <w:spacing w:after="0" w:line="312" w:lineRule="auto"/>
        <w:rPr>
          <w:rFonts w:ascii="宋体" w:eastAsia="宋体" w:hint="eastAsia"/>
        </w:rPr>
        <w:sectPr>
          <w:pgSz w:w="8400" w:h="11910"/>
          <w:pgMar w:header="0" w:footer="870" w:top="1100" w:bottom="1060" w:left="820" w:right="780"/>
        </w:sectPr>
      </w:pPr>
    </w:p>
    <w:p>
      <w:pPr>
        <w:pStyle w:val="BodyText"/>
        <w:spacing w:line="328" w:lineRule="auto" w:before="144"/>
        <w:ind w:left="620" w:right="164"/>
        <w:rPr>
          <w:rFonts w:ascii="宋体" w:eastAsia="宋体" w:hint="eastAsia"/>
        </w:rPr>
      </w:pPr>
      <w:r>
        <w:rPr>
          <w:rFonts w:ascii="宋体" w:eastAsia="宋体" w:hint="eastAsia"/>
          <w:color w:val="333333"/>
          <w:spacing w:val="-32"/>
        </w:rPr>
        <w:t>(五)有关燃气、电气设备检测(包括防雷、防静电)等记录资料； </w:t>
      </w:r>
      <w:r>
        <w:rPr>
          <w:rFonts w:ascii="宋体" w:eastAsia="宋体" w:hint="eastAsia"/>
          <w:color w:val="333333"/>
          <w:spacing w:val="-12"/>
        </w:rPr>
        <w:t>(六)消防安全培训记录；</w:t>
      </w:r>
    </w:p>
    <w:p>
      <w:pPr>
        <w:pStyle w:val="BodyText"/>
        <w:spacing w:line="328" w:lineRule="auto"/>
        <w:ind w:left="620" w:right="2246"/>
        <w:rPr>
          <w:rFonts w:ascii="宋体" w:eastAsia="宋体" w:hint="eastAsia"/>
        </w:rPr>
      </w:pPr>
      <w:r>
        <w:rPr>
          <w:rFonts w:ascii="宋体" w:eastAsia="宋体" w:hint="eastAsia"/>
          <w:color w:val="333333"/>
          <w:spacing w:val="-13"/>
        </w:rPr>
        <w:t>(七)灭火和应急疏散预案的演练记录； </w:t>
      </w:r>
      <w:r>
        <w:rPr>
          <w:rFonts w:ascii="宋体" w:eastAsia="宋体" w:hint="eastAsia"/>
          <w:color w:val="333333"/>
          <w:spacing w:val="-12"/>
        </w:rPr>
        <w:t>(八)火灾情况记录；</w:t>
      </w:r>
    </w:p>
    <w:p>
      <w:pPr>
        <w:pStyle w:val="BodyText"/>
        <w:spacing w:line="305" w:lineRule="exact"/>
        <w:ind w:left="620"/>
        <w:rPr>
          <w:rFonts w:ascii="宋体" w:eastAsia="宋体" w:hint="eastAsia"/>
        </w:rPr>
      </w:pPr>
      <w:r>
        <w:rPr>
          <w:rFonts w:ascii="宋体" w:eastAsia="宋体" w:hint="eastAsia"/>
          <w:color w:val="333333"/>
        </w:rPr>
        <w:t>(九)消防奖惩情况记录。</w:t>
      </w:r>
    </w:p>
    <w:p>
      <w:pPr>
        <w:pStyle w:val="BodyText"/>
        <w:spacing w:line="328" w:lineRule="auto" w:before="110"/>
        <w:ind w:right="206" w:firstLine="420"/>
        <w:jc w:val="both"/>
        <w:rPr>
          <w:rFonts w:ascii="宋体" w:eastAsia="宋体" w:hint="eastAsia"/>
        </w:rPr>
      </w:pPr>
      <w:r>
        <w:rPr>
          <w:rFonts w:ascii="宋体" w:eastAsia="宋体" w:hint="eastAsia"/>
          <w:color w:val="333333"/>
          <w:spacing w:val="-15"/>
        </w:rPr>
        <w:t>前款规定中的第(二)、(三)、(四)、(五)项记录，应当记明</w:t>
      </w:r>
      <w:r>
        <w:rPr>
          <w:rFonts w:ascii="宋体" w:eastAsia="宋体" w:hint="eastAsia"/>
          <w:color w:val="333333"/>
          <w:spacing w:val="-17"/>
        </w:rPr>
        <w:t>检查的人员、时间、部位、内容、发现的火灾隐患以及处理措施</w:t>
      </w:r>
      <w:r>
        <w:rPr>
          <w:rFonts w:ascii="宋体" w:eastAsia="宋体" w:hint="eastAsia"/>
          <w:color w:val="333333"/>
          <w:spacing w:val="-15"/>
        </w:rPr>
        <w:t>等；第(六)项记录，应当记明培训的时间、参加人员、内容等； </w:t>
      </w:r>
      <w:r>
        <w:rPr>
          <w:rFonts w:ascii="宋体" w:eastAsia="宋体" w:hint="eastAsia"/>
          <w:color w:val="333333"/>
          <w:spacing w:val="-17"/>
        </w:rPr>
        <w:t>第(七)项记录，应当记明演练的时间、地点、内容、参加部门以</w:t>
      </w:r>
      <w:r>
        <w:rPr>
          <w:rFonts w:ascii="宋体" w:eastAsia="宋体" w:hint="eastAsia"/>
          <w:color w:val="333333"/>
          <w:spacing w:val="-12"/>
        </w:rPr>
        <w:t>及人员等。</w:t>
      </w:r>
    </w:p>
    <w:p>
      <w:pPr>
        <w:spacing w:line="356" w:lineRule="exact" w:before="0"/>
        <w:ind w:left="620" w:right="0" w:firstLine="0"/>
        <w:jc w:val="both"/>
        <w:rPr>
          <w:rFonts w:ascii="宋体" w:eastAsia="宋体" w:hint="eastAsia"/>
          <w:sz w:val="24"/>
        </w:rPr>
      </w:pPr>
      <w:r>
        <w:rPr>
          <w:rFonts w:ascii="Microsoft JhengHei" w:eastAsia="Microsoft JhengHei" w:hint="eastAsia"/>
          <w:b/>
          <w:color w:val="333333"/>
          <w:sz w:val="24"/>
        </w:rPr>
        <w:t>第四十四条 </w:t>
      </w:r>
      <w:r>
        <w:rPr>
          <w:rFonts w:ascii="宋体" w:eastAsia="宋体" w:hint="eastAsia"/>
          <w:color w:val="333333"/>
          <w:sz w:val="24"/>
        </w:rPr>
        <w:t>其他单位应当将本单位的基本概况、公安消防</w:t>
      </w:r>
    </w:p>
    <w:p>
      <w:pPr>
        <w:pStyle w:val="BodyText"/>
        <w:spacing w:line="328" w:lineRule="auto" w:before="58"/>
        <w:ind w:right="239"/>
        <w:rPr>
          <w:rFonts w:ascii="宋体" w:eastAsia="宋体" w:hint="eastAsia"/>
        </w:rPr>
      </w:pPr>
      <w:r>
        <w:rPr>
          <w:rFonts w:ascii="宋体" w:eastAsia="宋体" w:hint="eastAsia"/>
          <w:color w:val="333333"/>
          <w:spacing w:val="-17"/>
        </w:rPr>
        <w:t>机构填发的各种法律文书、与消防工作有关的材料和记录等统一</w:t>
      </w:r>
      <w:r>
        <w:rPr>
          <w:rFonts w:ascii="宋体" w:eastAsia="宋体" w:hint="eastAsia"/>
          <w:color w:val="333333"/>
          <w:spacing w:val="-12"/>
        </w:rPr>
        <w:t>保管备查。</w:t>
      </w:r>
    </w:p>
    <w:p>
      <w:pPr>
        <w:pStyle w:val="Heading2"/>
        <w:tabs>
          <w:tab w:pos="1125" w:val="left" w:leader="none"/>
          <w:tab w:pos="1968" w:val="left" w:leader="none"/>
        </w:tabs>
        <w:spacing w:before="95"/>
        <w:ind w:right="40"/>
      </w:pPr>
      <w:r>
        <w:rPr/>
        <w:t>第九章</w:t>
        <w:tab/>
        <w:t>奖</w:t>
        <w:tab/>
        <w:t>惩</w:t>
      </w:r>
    </w:p>
    <w:p>
      <w:pPr>
        <w:pStyle w:val="BodyText"/>
        <w:spacing w:line="420" w:lineRule="exact" w:before="130"/>
        <w:ind w:right="227" w:firstLine="420"/>
        <w:jc w:val="both"/>
        <w:rPr>
          <w:rFonts w:ascii="宋体" w:eastAsia="宋体" w:hint="eastAsia"/>
        </w:rPr>
      </w:pPr>
      <w:r>
        <w:rPr>
          <w:rFonts w:ascii="Microsoft JhengHei" w:eastAsia="Microsoft JhengHei" w:hint="eastAsia"/>
          <w:b/>
          <w:color w:val="333333"/>
          <w:spacing w:val="-3"/>
        </w:rPr>
        <w:t>第四十五条 </w:t>
      </w:r>
      <w:r>
        <w:rPr>
          <w:rFonts w:ascii="宋体" w:eastAsia="宋体" w:hint="eastAsia"/>
          <w:color w:val="333333"/>
          <w:spacing w:val="-5"/>
        </w:rPr>
        <w:t>单位应当将消防安全工作纳入内部检查、考</w:t>
      </w:r>
      <w:r>
        <w:rPr>
          <w:rFonts w:ascii="宋体" w:eastAsia="宋体" w:hint="eastAsia"/>
          <w:color w:val="333333"/>
          <w:spacing w:val="-19"/>
        </w:rPr>
        <w:t>核、评比内容。对在消防安全工作中成绩突出的部门(班组)和个人，单位应当给予表彰奖励。对未依法履行消防安全职责或者违</w:t>
      </w:r>
      <w:r>
        <w:rPr>
          <w:rFonts w:ascii="宋体" w:eastAsia="宋体" w:hint="eastAsia"/>
          <w:color w:val="333333"/>
          <w:spacing w:val="-16"/>
        </w:rPr>
        <w:t>反单位消防安全制度的行为，应当依照有关规定对责任人员给予行政纪律处分或者其他处理。</w:t>
      </w:r>
    </w:p>
    <w:p>
      <w:pPr>
        <w:pStyle w:val="BodyText"/>
        <w:spacing w:line="271" w:lineRule="auto" w:before="17"/>
        <w:ind w:right="229" w:firstLine="420"/>
        <w:jc w:val="both"/>
        <w:rPr>
          <w:rFonts w:ascii="宋体" w:eastAsia="宋体" w:hint="eastAsia"/>
        </w:rPr>
      </w:pPr>
      <w:r>
        <w:rPr>
          <w:rFonts w:ascii="Microsoft JhengHei" w:eastAsia="Microsoft JhengHei" w:hint="eastAsia"/>
          <w:b/>
          <w:color w:val="333333"/>
          <w:spacing w:val="-2"/>
        </w:rPr>
        <w:t>第四十六条 </w:t>
      </w:r>
      <w:r>
        <w:rPr>
          <w:rFonts w:ascii="宋体" w:eastAsia="宋体" w:hint="eastAsia"/>
          <w:color w:val="333333"/>
          <w:spacing w:val="-15"/>
        </w:rPr>
        <w:t>违反本规定，依法应当给予行政处罚的，依照</w:t>
      </w:r>
      <w:r>
        <w:rPr>
          <w:rFonts w:ascii="宋体" w:eastAsia="宋体" w:hint="eastAsia"/>
          <w:color w:val="333333"/>
          <w:spacing w:val="-12"/>
        </w:rPr>
        <w:t>有关法律、法规予以处罚；构成犯罪的，依法追究刑事责任。</w:t>
      </w:r>
    </w:p>
    <w:p>
      <w:pPr>
        <w:spacing w:after="0" w:line="271" w:lineRule="auto"/>
        <w:jc w:val="both"/>
        <w:rPr>
          <w:rFonts w:ascii="宋体" w:eastAsia="宋体" w:hint="eastAsia"/>
        </w:rPr>
        <w:sectPr>
          <w:pgSz w:w="8400" w:h="11910"/>
          <w:pgMar w:header="0" w:footer="870" w:top="1100" w:bottom="1060" w:left="820" w:right="780"/>
        </w:sectPr>
      </w:pPr>
    </w:p>
    <w:p>
      <w:pPr>
        <w:pStyle w:val="Heading2"/>
        <w:tabs>
          <w:tab w:pos="1125" w:val="left" w:leader="none"/>
          <w:tab w:pos="1687" w:val="left" w:leader="none"/>
        </w:tabs>
        <w:spacing w:before="121"/>
        <w:ind w:right="38"/>
      </w:pPr>
      <w:r>
        <w:rPr/>
        <w:t>第十章</w:t>
        <w:tab/>
        <w:t>附</w:t>
        <w:tab/>
        <w:t>则</w:t>
      </w:r>
    </w:p>
    <w:p>
      <w:pPr>
        <w:pStyle w:val="BodyText"/>
        <w:spacing w:line="440" w:lineRule="exact" w:before="131"/>
        <w:ind w:right="235" w:firstLine="420"/>
        <w:jc w:val="both"/>
        <w:rPr>
          <w:rFonts w:ascii="宋体" w:eastAsia="宋体" w:hint="eastAsia"/>
        </w:rPr>
      </w:pPr>
      <w:r>
        <w:rPr>
          <w:rFonts w:ascii="Microsoft JhengHei" w:eastAsia="Microsoft JhengHei" w:hint="eastAsia"/>
          <w:b/>
          <w:color w:val="333333"/>
        </w:rPr>
        <w:t>第四十七条 </w:t>
      </w:r>
      <w:r>
        <w:rPr>
          <w:rFonts w:ascii="宋体" w:eastAsia="宋体" w:hint="eastAsia"/>
          <w:color w:val="333333"/>
        </w:rPr>
        <w:t>公安消防机构对本规定的执行情况依法实施监督，并对自身滥用职权、玩忽职守、徇私舞弊的行为承担法律责任。</w:t>
      </w:r>
    </w:p>
    <w:p>
      <w:pPr>
        <w:pStyle w:val="BodyText"/>
        <w:tabs>
          <w:tab w:pos="2068" w:val="left" w:leader="none"/>
        </w:tabs>
        <w:spacing w:line="280" w:lineRule="auto" w:before="33"/>
        <w:ind w:right="235" w:firstLine="420"/>
        <w:rPr>
          <w:rFonts w:ascii="宋体" w:eastAsia="宋体" w:hint="eastAsia"/>
        </w:rPr>
      </w:pPr>
      <w:r>
        <w:rPr>
          <w:rFonts w:ascii="Microsoft JhengHei" w:eastAsia="Microsoft JhengHei" w:hint="eastAsia"/>
          <w:b/>
          <w:color w:val="333333"/>
        </w:rPr>
        <w:t>第四十八条</w:t>
        <w:tab/>
      </w:r>
      <w:r>
        <w:rPr>
          <w:rFonts w:ascii="宋体" w:eastAsia="宋体" w:hint="eastAsia"/>
          <w:color w:val="333333"/>
        </w:rPr>
        <w:t>规定自</w:t>
      </w:r>
      <w:r>
        <w:rPr>
          <w:rFonts w:ascii="宋体" w:eastAsia="宋体" w:hint="eastAsia"/>
          <w:color w:val="333333"/>
          <w:spacing w:val="-53"/>
        </w:rPr>
        <w:t> </w:t>
      </w:r>
      <w:r>
        <w:rPr>
          <w:rFonts w:ascii="宋体" w:eastAsia="宋体" w:hint="eastAsia"/>
          <w:color w:val="333333"/>
        </w:rPr>
        <w:t>2002</w:t>
      </w:r>
      <w:r>
        <w:rPr>
          <w:rFonts w:ascii="宋体" w:eastAsia="宋体" w:hint="eastAsia"/>
          <w:color w:val="333333"/>
          <w:spacing w:val="-53"/>
        </w:rPr>
        <w:t> </w:t>
      </w:r>
      <w:r>
        <w:rPr>
          <w:rFonts w:ascii="宋体" w:eastAsia="宋体" w:hint="eastAsia"/>
          <w:color w:val="333333"/>
        </w:rPr>
        <w:t>年</w:t>
      </w:r>
      <w:r>
        <w:rPr>
          <w:rFonts w:ascii="宋体" w:eastAsia="宋体" w:hint="eastAsia"/>
          <w:color w:val="333333"/>
          <w:spacing w:val="-53"/>
        </w:rPr>
        <w:t> </w:t>
      </w:r>
      <w:r>
        <w:rPr>
          <w:rFonts w:ascii="宋体" w:eastAsia="宋体" w:hint="eastAsia"/>
          <w:color w:val="333333"/>
        </w:rPr>
        <w:t>5</w:t>
      </w:r>
      <w:r>
        <w:rPr>
          <w:rFonts w:ascii="宋体" w:eastAsia="宋体" w:hint="eastAsia"/>
          <w:color w:val="333333"/>
          <w:spacing w:val="-53"/>
        </w:rPr>
        <w:t> </w:t>
      </w:r>
      <w:r>
        <w:rPr>
          <w:rFonts w:ascii="宋体" w:eastAsia="宋体" w:hint="eastAsia"/>
          <w:color w:val="333333"/>
        </w:rPr>
        <w:t>月</w:t>
      </w:r>
      <w:r>
        <w:rPr>
          <w:rFonts w:ascii="宋体" w:eastAsia="宋体" w:hint="eastAsia"/>
          <w:color w:val="333333"/>
          <w:spacing w:val="-53"/>
        </w:rPr>
        <w:t> </w:t>
      </w:r>
      <w:r>
        <w:rPr>
          <w:rFonts w:ascii="宋体" w:eastAsia="宋体" w:hint="eastAsia"/>
          <w:color w:val="333333"/>
        </w:rPr>
        <w:t>1</w:t>
      </w:r>
      <w:r>
        <w:rPr>
          <w:rFonts w:ascii="宋体" w:eastAsia="宋体" w:hint="eastAsia"/>
          <w:color w:val="333333"/>
          <w:spacing w:val="-53"/>
        </w:rPr>
        <w:t> </w:t>
      </w:r>
      <w:r>
        <w:rPr>
          <w:rFonts w:ascii="宋体" w:eastAsia="宋体" w:hint="eastAsia"/>
          <w:color w:val="333333"/>
        </w:rPr>
        <w:t>日起施行。本规定</w:t>
      </w:r>
      <w:r>
        <w:rPr>
          <w:rFonts w:ascii="宋体" w:eastAsia="宋体" w:hint="eastAsia"/>
          <w:color w:val="333333"/>
          <w:spacing w:val="-13"/>
        </w:rPr>
        <w:t>施</w:t>
      </w:r>
      <w:r>
        <w:rPr>
          <w:rFonts w:ascii="宋体" w:eastAsia="宋体" w:hint="eastAsia"/>
          <w:color w:val="333333"/>
          <w:spacing w:val="4"/>
        </w:rPr>
        <w:t>行以前公安部发布</w:t>
      </w:r>
      <w:r>
        <w:rPr>
          <w:rFonts w:ascii="宋体" w:eastAsia="宋体" w:hint="eastAsia"/>
          <w:color w:val="333333"/>
        </w:rPr>
        <w:t>的规</w:t>
      </w:r>
      <w:r>
        <w:rPr>
          <w:rFonts w:ascii="宋体" w:eastAsia="宋体" w:hint="eastAsia"/>
          <w:color w:val="333333"/>
          <w:spacing w:val="4"/>
        </w:rPr>
        <w:t>章中的有关规定与</w:t>
      </w:r>
      <w:r>
        <w:rPr>
          <w:rFonts w:ascii="宋体" w:eastAsia="宋体" w:hint="eastAsia"/>
          <w:color w:val="333333"/>
        </w:rPr>
        <w:t>本规</w:t>
      </w:r>
      <w:r>
        <w:rPr>
          <w:rFonts w:ascii="宋体" w:eastAsia="宋体" w:hint="eastAsia"/>
          <w:color w:val="333333"/>
          <w:spacing w:val="4"/>
        </w:rPr>
        <w:t>定不一致的，</w:t>
      </w:r>
    </w:p>
    <w:p>
      <w:pPr>
        <w:pStyle w:val="BodyText"/>
        <w:spacing w:before="82"/>
        <w:rPr>
          <w:rFonts w:ascii="宋体" w:eastAsia="宋体" w:hint="eastAsia"/>
        </w:rPr>
      </w:pPr>
      <w:r>
        <w:rPr>
          <w:rFonts w:ascii="宋体" w:eastAsia="宋体" w:hint="eastAsia"/>
          <w:color w:val="333333"/>
        </w:rPr>
        <w:t>以本规定为准。</w:t>
      </w:r>
    </w:p>
    <w:p>
      <w:pPr>
        <w:spacing w:after="0"/>
        <w:rPr>
          <w:rFonts w:ascii="宋体" w:eastAsia="宋体" w:hint="eastAsia"/>
        </w:rPr>
        <w:sectPr>
          <w:pgSz w:w="8400" w:h="11910"/>
          <w:pgMar w:header="0" w:footer="870" w:top="1100" w:bottom="1060" w:left="820" w:right="780"/>
        </w:sectPr>
      </w:pPr>
    </w:p>
    <w:p>
      <w:pPr>
        <w:pStyle w:val="Heading3"/>
        <w:spacing w:line="242" w:lineRule="auto" w:before="48"/>
        <w:ind w:left="200" w:right="325"/>
        <w:rPr>
          <w:rFonts w:ascii="仿宋" w:eastAsia="仿宋" w:hint="eastAsia"/>
        </w:rPr>
      </w:pPr>
      <w:bookmarkStart w:name="_bookmark30" w:id="31"/>
      <w:bookmarkEnd w:id="31"/>
      <w:r>
        <w:rPr>
          <w:b w:val="0"/>
        </w:rPr>
      </w:r>
      <w:r>
        <w:rPr>
          <w:rFonts w:ascii="仿宋" w:eastAsia="仿宋" w:hint="eastAsia"/>
          <w:color w:val="333333"/>
        </w:rPr>
        <w:t>附件八：</w:t>
      </w:r>
      <w:r>
        <w:rPr>
          <w:rFonts w:ascii="仿宋" w:eastAsia="仿宋" w:hint="eastAsia"/>
        </w:rPr>
        <w:t>湖南省公安厅关于印发《湖南省消防安全重点单位界定标准》的通知</w:t>
      </w:r>
    </w:p>
    <w:p>
      <w:pPr>
        <w:pStyle w:val="BodyText"/>
        <w:ind w:left="343"/>
        <w:rPr>
          <w:sz w:val="20"/>
        </w:rPr>
      </w:pPr>
      <w:r>
        <w:rPr>
          <w:sz w:val="20"/>
        </w:rPr>
        <w:drawing>
          <wp:inline distT="0" distB="0" distL="0" distR="0">
            <wp:extent cx="3695691" cy="5353050"/>
            <wp:effectExtent l="0" t="0" r="0" b="0"/>
            <wp:docPr id="27" name="image22.jpeg"/>
            <wp:cNvGraphicFramePr>
              <a:graphicFrameLocks noChangeAspect="1"/>
            </wp:cNvGraphicFramePr>
            <a:graphic>
              <a:graphicData uri="http://schemas.openxmlformats.org/drawingml/2006/picture">
                <pic:pic>
                  <pic:nvPicPr>
                    <pic:cNvPr id="28" name="image22.jpeg"/>
                    <pic:cNvPicPr/>
                  </pic:nvPicPr>
                  <pic:blipFill>
                    <a:blip r:embed="rId36" cstate="print"/>
                    <a:stretch>
                      <a:fillRect/>
                    </a:stretch>
                  </pic:blipFill>
                  <pic:spPr>
                    <a:xfrm>
                      <a:off x="0" y="0"/>
                      <a:ext cx="3695691" cy="5353050"/>
                    </a:xfrm>
                    <a:prstGeom prst="rect">
                      <a:avLst/>
                    </a:prstGeom>
                  </pic:spPr>
                </pic:pic>
              </a:graphicData>
            </a:graphic>
          </wp:inline>
        </w:drawing>
      </w:r>
      <w:r>
        <w:rPr>
          <w:sz w:val="20"/>
        </w:rPr>
      </w:r>
    </w:p>
    <w:p>
      <w:pPr>
        <w:spacing w:after="0"/>
        <w:rPr>
          <w:sz w:val="20"/>
        </w:rPr>
        <w:sectPr>
          <w:pgSz w:w="8400" w:h="11910"/>
          <w:pgMar w:header="0" w:footer="870" w:top="1100" w:bottom="1060" w:left="820" w:right="780"/>
        </w:sectPr>
      </w:pPr>
    </w:p>
    <w:p>
      <w:pPr>
        <w:pStyle w:val="BodyText"/>
        <w:spacing w:before="9"/>
        <w:ind w:left="0"/>
        <w:rPr>
          <w:b/>
          <w:sz w:val="21"/>
        </w:rPr>
      </w:pPr>
    </w:p>
    <w:p>
      <w:pPr>
        <w:pStyle w:val="BodyText"/>
        <w:ind w:left="373"/>
        <w:rPr>
          <w:sz w:val="20"/>
        </w:rPr>
      </w:pPr>
      <w:r>
        <w:rPr>
          <w:sz w:val="20"/>
        </w:rPr>
        <w:drawing>
          <wp:inline distT="0" distB="0" distL="0" distR="0">
            <wp:extent cx="3806990" cy="4462272"/>
            <wp:effectExtent l="0" t="0" r="0" b="0"/>
            <wp:docPr id="29" name="image23.png"/>
            <wp:cNvGraphicFramePr>
              <a:graphicFrameLocks noChangeAspect="1"/>
            </wp:cNvGraphicFramePr>
            <a:graphic>
              <a:graphicData uri="http://schemas.openxmlformats.org/drawingml/2006/picture">
                <pic:pic>
                  <pic:nvPicPr>
                    <pic:cNvPr id="30" name="image23.png"/>
                    <pic:cNvPicPr/>
                  </pic:nvPicPr>
                  <pic:blipFill>
                    <a:blip r:embed="rId37" cstate="print"/>
                    <a:stretch>
                      <a:fillRect/>
                    </a:stretch>
                  </pic:blipFill>
                  <pic:spPr>
                    <a:xfrm>
                      <a:off x="0" y="0"/>
                      <a:ext cx="3806990" cy="4462272"/>
                    </a:xfrm>
                    <a:prstGeom prst="rect">
                      <a:avLst/>
                    </a:prstGeom>
                  </pic:spPr>
                </pic:pic>
              </a:graphicData>
            </a:graphic>
          </wp:inline>
        </w:drawing>
      </w:r>
      <w:r>
        <w:rPr>
          <w:sz w:val="20"/>
        </w:rPr>
      </w:r>
    </w:p>
    <w:p>
      <w:pPr>
        <w:spacing w:after="0"/>
        <w:rPr>
          <w:sz w:val="20"/>
        </w:rPr>
        <w:sectPr>
          <w:pgSz w:w="8400" w:h="11910"/>
          <w:pgMar w:header="0" w:footer="870" w:top="1100" w:bottom="980" w:left="820" w:right="780"/>
        </w:sectPr>
      </w:pPr>
    </w:p>
    <w:p>
      <w:pPr>
        <w:pStyle w:val="BodyText"/>
        <w:spacing w:before="9"/>
        <w:ind w:left="0"/>
        <w:rPr>
          <w:b/>
          <w:sz w:val="21"/>
        </w:rPr>
      </w:pPr>
    </w:p>
    <w:p>
      <w:pPr>
        <w:pStyle w:val="BodyText"/>
        <w:ind w:left="373"/>
        <w:rPr>
          <w:sz w:val="20"/>
        </w:rPr>
      </w:pPr>
      <w:r>
        <w:rPr>
          <w:sz w:val="20"/>
        </w:rPr>
        <w:drawing>
          <wp:inline distT="0" distB="0" distL="0" distR="0">
            <wp:extent cx="3806990" cy="5632704"/>
            <wp:effectExtent l="0" t="0" r="0" b="0"/>
            <wp:docPr id="31" name="image24.png"/>
            <wp:cNvGraphicFramePr>
              <a:graphicFrameLocks noChangeAspect="1"/>
            </wp:cNvGraphicFramePr>
            <a:graphic>
              <a:graphicData uri="http://schemas.openxmlformats.org/drawingml/2006/picture">
                <pic:pic>
                  <pic:nvPicPr>
                    <pic:cNvPr id="32" name="image24.png"/>
                    <pic:cNvPicPr/>
                  </pic:nvPicPr>
                  <pic:blipFill>
                    <a:blip r:embed="rId38" cstate="print"/>
                    <a:stretch>
                      <a:fillRect/>
                    </a:stretch>
                  </pic:blipFill>
                  <pic:spPr>
                    <a:xfrm>
                      <a:off x="0" y="0"/>
                      <a:ext cx="3806990" cy="5632704"/>
                    </a:xfrm>
                    <a:prstGeom prst="rect">
                      <a:avLst/>
                    </a:prstGeom>
                  </pic:spPr>
                </pic:pic>
              </a:graphicData>
            </a:graphic>
          </wp:inline>
        </w:drawing>
      </w:r>
      <w:r>
        <w:rPr>
          <w:sz w:val="20"/>
        </w:rPr>
      </w:r>
    </w:p>
    <w:p>
      <w:pPr>
        <w:spacing w:after="0"/>
        <w:rPr>
          <w:sz w:val="20"/>
        </w:rPr>
        <w:sectPr>
          <w:pgSz w:w="8400" w:h="11910"/>
          <w:pgMar w:header="0" w:footer="870" w:top="1100" w:bottom="980" w:left="820" w:right="780"/>
        </w:sectPr>
      </w:pPr>
    </w:p>
    <w:p>
      <w:pPr>
        <w:pStyle w:val="BodyText"/>
        <w:spacing w:before="9"/>
        <w:ind w:left="0"/>
        <w:rPr>
          <w:b/>
          <w:sz w:val="21"/>
        </w:rPr>
      </w:pPr>
    </w:p>
    <w:p>
      <w:pPr>
        <w:pStyle w:val="BodyText"/>
        <w:ind w:left="373"/>
        <w:rPr>
          <w:sz w:val="20"/>
        </w:rPr>
      </w:pPr>
      <w:r>
        <w:rPr>
          <w:sz w:val="20"/>
        </w:rPr>
        <w:drawing>
          <wp:inline distT="0" distB="0" distL="0" distR="0">
            <wp:extent cx="3806990" cy="5632704"/>
            <wp:effectExtent l="0" t="0" r="0" b="0"/>
            <wp:docPr id="33" name="image25.png"/>
            <wp:cNvGraphicFramePr>
              <a:graphicFrameLocks noChangeAspect="1"/>
            </wp:cNvGraphicFramePr>
            <a:graphic>
              <a:graphicData uri="http://schemas.openxmlformats.org/drawingml/2006/picture">
                <pic:pic>
                  <pic:nvPicPr>
                    <pic:cNvPr id="34" name="image25.png"/>
                    <pic:cNvPicPr/>
                  </pic:nvPicPr>
                  <pic:blipFill>
                    <a:blip r:embed="rId39" cstate="print"/>
                    <a:stretch>
                      <a:fillRect/>
                    </a:stretch>
                  </pic:blipFill>
                  <pic:spPr>
                    <a:xfrm>
                      <a:off x="0" y="0"/>
                      <a:ext cx="3806990" cy="5632704"/>
                    </a:xfrm>
                    <a:prstGeom prst="rect">
                      <a:avLst/>
                    </a:prstGeom>
                  </pic:spPr>
                </pic:pic>
              </a:graphicData>
            </a:graphic>
          </wp:inline>
        </w:drawing>
      </w:r>
      <w:r>
        <w:rPr>
          <w:sz w:val="20"/>
        </w:rPr>
      </w:r>
    </w:p>
    <w:p>
      <w:pPr>
        <w:spacing w:after="0"/>
        <w:rPr>
          <w:sz w:val="20"/>
        </w:rPr>
        <w:sectPr>
          <w:pgSz w:w="8400" w:h="11910"/>
          <w:pgMar w:header="0" w:footer="870" w:top="1100" w:bottom="980" w:left="820" w:right="780"/>
        </w:sectPr>
      </w:pPr>
    </w:p>
    <w:p>
      <w:pPr>
        <w:pStyle w:val="BodyText"/>
        <w:spacing w:before="9"/>
        <w:ind w:left="0"/>
        <w:rPr>
          <w:b/>
          <w:sz w:val="21"/>
        </w:rPr>
      </w:pPr>
    </w:p>
    <w:p>
      <w:pPr>
        <w:pStyle w:val="BodyText"/>
        <w:ind w:left="373"/>
        <w:rPr>
          <w:sz w:val="20"/>
        </w:rPr>
      </w:pPr>
      <w:r>
        <w:rPr>
          <w:sz w:val="20"/>
        </w:rPr>
        <w:drawing>
          <wp:inline distT="0" distB="0" distL="0" distR="0">
            <wp:extent cx="3806990" cy="5376672"/>
            <wp:effectExtent l="0" t="0" r="0" b="0"/>
            <wp:docPr id="35" name="image26.png"/>
            <wp:cNvGraphicFramePr>
              <a:graphicFrameLocks noChangeAspect="1"/>
            </wp:cNvGraphicFramePr>
            <a:graphic>
              <a:graphicData uri="http://schemas.openxmlformats.org/drawingml/2006/picture">
                <pic:pic>
                  <pic:nvPicPr>
                    <pic:cNvPr id="36" name="image26.png"/>
                    <pic:cNvPicPr/>
                  </pic:nvPicPr>
                  <pic:blipFill>
                    <a:blip r:embed="rId40" cstate="print"/>
                    <a:stretch>
                      <a:fillRect/>
                    </a:stretch>
                  </pic:blipFill>
                  <pic:spPr>
                    <a:xfrm>
                      <a:off x="0" y="0"/>
                      <a:ext cx="3806990" cy="5376672"/>
                    </a:xfrm>
                    <a:prstGeom prst="rect">
                      <a:avLst/>
                    </a:prstGeom>
                  </pic:spPr>
                </pic:pic>
              </a:graphicData>
            </a:graphic>
          </wp:inline>
        </w:drawing>
      </w:r>
      <w:r>
        <w:rPr>
          <w:sz w:val="20"/>
        </w:rPr>
      </w:r>
    </w:p>
    <w:p>
      <w:pPr>
        <w:spacing w:after="0"/>
        <w:rPr>
          <w:sz w:val="20"/>
        </w:rPr>
        <w:sectPr>
          <w:pgSz w:w="8400" w:h="11910"/>
          <w:pgMar w:header="0" w:footer="870" w:top="1100" w:bottom="980" w:left="820" w:right="780"/>
        </w:sectPr>
      </w:pPr>
    </w:p>
    <w:p>
      <w:pPr>
        <w:pStyle w:val="BodyText"/>
        <w:spacing w:after="1"/>
        <w:ind w:left="0"/>
        <w:rPr>
          <w:b/>
          <w:sz w:val="20"/>
        </w:rPr>
      </w:pPr>
    </w:p>
    <w:p>
      <w:pPr>
        <w:pStyle w:val="BodyText"/>
        <w:ind w:left="363"/>
        <w:rPr>
          <w:sz w:val="20"/>
        </w:rPr>
      </w:pPr>
      <w:r>
        <w:rPr>
          <w:sz w:val="20"/>
        </w:rPr>
        <w:drawing>
          <wp:inline distT="0" distB="0" distL="0" distR="0">
            <wp:extent cx="3832427" cy="5833872"/>
            <wp:effectExtent l="0" t="0" r="0" b="0"/>
            <wp:docPr id="37" name="image27.jpeg"/>
            <wp:cNvGraphicFramePr>
              <a:graphicFrameLocks noChangeAspect="1"/>
            </wp:cNvGraphicFramePr>
            <a:graphic>
              <a:graphicData uri="http://schemas.openxmlformats.org/drawingml/2006/picture">
                <pic:pic>
                  <pic:nvPicPr>
                    <pic:cNvPr id="38" name="image27.jpeg"/>
                    <pic:cNvPicPr/>
                  </pic:nvPicPr>
                  <pic:blipFill>
                    <a:blip r:embed="rId41" cstate="print"/>
                    <a:stretch>
                      <a:fillRect/>
                    </a:stretch>
                  </pic:blipFill>
                  <pic:spPr>
                    <a:xfrm>
                      <a:off x="0" y="0"/>
                      <a:ext cx="3832427" cy="5833872"/>
                    </a:xfrm>
                    <a:prstGeom prst="rect">
                      <a:avLst/>
                    </a:prstGeom>
                  </pic:spPr>
                </pic:pic>
              </a:graphicData>
            </a:graphic>
          </wp:inline>
        </w:drawing>
      </w:r>
      <w:r>
        <w:rPr>
          <w:sz w:val="20"/>
        </w:rPr>
      </w:r>
    </w:p>
    <w:p>
      <w:pPr>
        <w:spacing w:after="0"/>
        <w:rPr>
          <w:sz w:val="20"/>
        </w:rPr>
        <w:sectPr>
          <w:pgSz w:w="8400" w:h="11910"/>
          <w:pgMar w:header="0" w:footer="870" w:top="1100" w:bottom="980" w:left="820" w:right="780"/>
        </w:sectPr>
      </w:pPr>
    </w:p>
    <w:p>
      <w:pPr>
        <w:spacing w:line="242" w:lineRule="auto" w:before="48"/>
        <w:ind w:left="200" w:right="328" w:firstLine="0"/>
        <w:jc w:val="left"/>
        <w:rPr>
          <w:b/>
          <w:sz w:val="24"/>
        </w:rPr>
      </w:pPr>
      <w:bookmarkStart w:name="_bookmark31" w:id="32"/>
      <w:bookmarkEnd w:id="32"/>
      <w:r>
        <w:rPr/>
      </w:r>
      <w:r>
        <w:rPr>
          <w:b/>
          <w:color w:val="333333"/>
          <w:sz w:val="24"/>
        </w:rPr>
        <w:t>附件九：</w:t>
      </w:r>
      <w:r>
        <w:rPr>
          <w:b/>
          <w:sz w:val="24"/>
        </w:rPr>
        <w:t>湖南省人民政府办公厅关于印发《湖南省火灾高危单位消防安全管理规定》的通知</w:t>
      </w:r>
    </w:p>
    <w:p>
      <w:pPr>
        <w:pStyle w:val="BodyText"/>
        <w:ind w:left="0"/>
        <w:rPr>
          <w:b/>
          <w:sz w:val="20"/>
        </w:rPr>
      </w:pPr>
    </w:p>
    <w:p>
      <w:pPr>
        <w:pStyle w:val="BodyText"/>
        <w:spacing w:before="8"/>
        <w:ind w:left="0"/>
        <w:rPr>
          <w:b/>
          <w:sz w:val="16"/>
        </w:rPr>
      </w:pPr>
      <w:r>
        <w:rPr/>
        <w:drawing>
          <wp:anchor distT="0" distB="0" distL="0" distR="0" allowOverlap="1" layoutInCell="1" locked="0" behindDoc="0" simplePos="0" relativeHeight="10">
            <wp:simplePos x="0" y="0"/>
            <wp:positionH relativeFrom="page">
              <wp:posOffset>984159</wp:posOffset>
            </wp:positionH>
            <wp:positionV relativeFrom="paragraph">
              <wp:posOffset>160206</wp:posOffset>
            </wp:positionV>
            <wp:extent cx="3307630" cy="4963763"/>
            <wp:effectExtent l="0" t="0" r="0" b="0"/>
            <wp:wrapTopAndBottom/>
            <wp:docPr id="39" name="image28.jpeg" descr="1607579230(1)"/>
            <wp:cNvGraphicFramePr>
              <a:graphicFrameLocks noChangeAspect="1"/>
            </wp:cNvGraphicFramePr>
            <a:graphic>
              <a:graphicData uri="http://schemas.openxmlformats.org/drawingml/2006/picture">
                <pic:pic>
                  <pic:nvPicPr>
                    <pic:cNvPr id="40" name="image28.jpeg"/>
                    <pic:cNvPicPr/>
                  </pic:nvPicPr>
                  <pic:blipFill>
                    <a:blip r:embed="rId42" cstate="print"/>
                    <a:stretch>
                      <a:fillRect/>
                    </a:stretch>
                  </pic:blipFill>
                  <pic:spPr>
                    <a:xfrm>
                      <a:off x="0" y="0"/>
                      <a:ext cx="3307630" cy="4963763"/>
                    </a:xfrm>
                    <a:prstGeom prst="rect">
                      <a:avLst/>
                    </a:prstGeom>
                  </pic:spPr>
                </pic:pic>
              </a:graphicData>
            </a:graphic>
          </wp:anchor>
        </w:drawing>
      </w:r>
    </w:p>
    <w:p>
      <w:pPr>
        <w:spacing w:after="0"/>
        <w:rPr>
          <w:sz w:val="16"/>
        </w:rPr>
        <w:sectPr>
          <w:pgSz w:w="8400" w:h="11910"/>
          <w:pgMar w:header="0" w:footer="870" w:top="1100" w:bottom="980" w:left="820" w:right="780"/>
        </w:sectPr>
      </w:pPr>
    </w:p>
    <w:p>
      <w:pPr>
        <w:spacing w:before="87"/>
        <w:ind w:left="0" w:right="22" w:firstLine="0"/>
        <w:jc w:val="center"/>
        <w:rPr>
          <w:b/>
          <w:sz w:val="28"/>
        </w:rPr>
      </w:pPr>
      <w:r>
        <w:rPr>
          <w:b/>
          <w:sz w:val="28"/>
        </w:rPr>
        <w:t>湖南省火灾高危单位消防安全管理规定</w:t>
      </w:r>
    </w:p>
    <w:p>
      <w:pPr>
        <w:pStyle w:val="BodyText"/>
        <w:ind w:left="0"/>
        <w:rPr>
          <w:b/>
          <w:sz w:val="28"/>
        </w:rPr>
      </w:pPr>
    </w:p>
    <w:p>
      <w:pPr>
        <w:spacing w:before="238"/>
        <w:ind w:left="0" w:right="38" w:firstLine="0"/>
        <w:jc w:val="center"/>
        <w:rPr>
          <w:b/>
          <w:sz w:val="28"/>
        </w:rPr>
      </w:pPr>
      <w:r>
        <w:rPr>
          <w:b/>
          <w:sz w:val="28"/>
        </w:rPr>
        <w:t>第一章 总则</w:t>
      </w:r>
    </w:p>
    <w:p>
      <w:pPr>
        <w:pStyle w:val="BodyText"/>
        <w:spacing w:line="328" w:lineRule="auto" w:before="224"/>
        <w:ind w:right="206" w:firstLine="456"/>
        <w:jc w:val="both"/>
      </w:pPr>
      <w:r>
        <w:rPr>
          <w:spacing w:val="-10"/>
        </w:rPr>
        <w:t>第一条 为加强火灾高危单位的消防安全管理，根据《中华</w:t>
      </w:r>
      <w:r>
        <w:rPr>
          <w:spacing w:val="-13"/>
        </w:rPr>
        <w:t>人民共和国消防法》、《湖南省实施〈中华人民共和国消防法〉</w:t>
      </w:r>
      <w:r>
        <w:rPr>
          <w:spacing w:val="-25"/>
        </w:rPr>
        <w:t>办法》、《机关、团体、企业、事业单位消防安全管理规定》(公</w:t>
      </w:r>
      <w:r>
        <w:rPr>
          <w:spacing w:val="-23"/>
        </w:rPr>
        <w:t>安部令第 </w:t>
      </w:r>
      <w:r>
        <w:rPr>
          <w:spacing w:val="-3"/>
        </w:rPr>
        <w:t>61</w:t>
      </w:r>
      <w:r>
        <w:rPr>
          <w:spacing w:val="-27"/>
        </w:rPr>
        <w:t> 号)、《国务院关于加强和改进消防工作的意见》(国</w:t>
      </w:r>
      <w:r>
        <w:rPr>
          <w:spacing w:val="-9"/>
        </w:rPr>
        <w:t>发[</w:t>
      </w:r>
      <w:r>
        <w:rPr>
          <w:spacing w:val="-6"/>
        </w:rPr>
        <w:t>2011]46</w:t>
      </w:r>
      <w:r>
        <w:rPr>
          <w:spacing w:val="-17"/>
        </w:rPr>
        <w:t> 号)等法律法规和文件有关规定，结合我省实际，制定本规定。</w:t>
      </w:r>
    </w:p>
    <w:p>
      <w:pPr>
        <w:pStyle w:val="BodyText"/>
        <w:spacing w:line="328" w:lineRule="auto"/>
        <w:ind w:right="229" w:firstLine="456"/>
        <w:jc w:val="both"/>
      </w:pPr>
      <w:r>
        <w:rPr>
          <w:spacing w:val="-10"/>
        </w:rPr>
        <w:t>第二条 本省行政区域内火灾高危单位的消防安全管理适用</w:t>
      </w:r>
      <w:r>
        <w:rPr>
          <w:spacing w:val="-12"/>
        </w:rPr>
        <w:t>本规定，法律、法规另有规定的除外。</w:t>
      </w:r>
    </w:p>
    <w:p>
      <w:pPr>
        <w:pStyle w:val="BodyText"/>
        <w:spacing w:line="328" w:lineRule="auto"/>
        <w:ind w:right="206" w:firstLine="456"/>
        <w:jc w:val="both"/>
      </w:pPr>
      <w:r>
        <w:rPr>
          <w:spacing w:val="-10"/>
        </w:rPr>
        <w:t>第三条 本规定所指的火灾高危单位是指消防安全重点单位</w:t>
      </w:r>
      <w:r>
        <w:rPr>
          <w:spacing w:val="-13"/>
        </w:rPr>
        <w:t>中一旦发生火灾可能造成重大人员伤亡和财产损失的下列单位：</w:t>
      </w:r>
    </w:p>
    <w:p>
      <w:pPr>
        <w:pStyle w:val="BodyText"/>
        <w:spacing w:line="305" w:lineRule="exact"/>
        <w:ind w:left="656"/>
      </w:pPr>
      <w:r>
        <w:rPr/>
        <w:t>(一)具有较大规模的人员密集场所；</w:t>
      </w:r>
    </w:p>
    <w:p>
      <w:pPr>
        <w:pStyle w:val="BodyText"/>
        <w:spacing w:line="328" w:lineRule="auto" w:before="103"/>
        <w:ind w:right="240" w:firstLine="456"/>
      </w:pPr>
      <w:r>
        <w:rPr>
          <w:spacing w:val="-17"/>
        </w:rPr>
        <w:t>(二)具有一定规模的生产、储存、经营易燃易爆危险品的场</w:t>
      </w:r>
      <w:r>
        <w:rPr>
          <w:spacing w:val="-12"/>
        </w:rPr>
        <w:t>所和单位；</w:t>
      </w:r>
    </w:p>
    <w:p>
      <w:pPr>
        <w:pStyle w:val="BodyText"/>
        <w:spacing w:line="328" w:lineRule="auto"/>
        <w:ind w:right="227" w:firstLine="456"/>
      </w:pPr>
      <w:r>
        <w:rPr>
          <w:spacing w:val="-17"/>
        </w:rPr>
        <w:t>(三)火灾荷载大、人员密集的高层、地下公共建筑以及地下</w:t>
      </w:r>
      <w:r>
        <w:rPr>
          <w:spacing w:val="-12"/>
        </w:rPr>
        <w:t>交通工程；</w:t>
      </w:r>
    </w:p>
    <w:p>
      <w:pPr>
        <w:pStyle w:val="BodyText"/>
        <w:spacing w:line="328" w:lineRule="auto"/>
        <w:ind w:right="230" w:firstLine="456"/>
      </w:pPr>
      <w:r>
        <w:rPr>
          <w:spacing w:val="-6"/>
        </w:rPr>
        <w:t>(四)采用木结构或砖木结构的省级及以上建筑物类重点文</w:t>
      </w:r>
      <w:r>
        <w:rPr>
          <w:spacing w:val="-12"/>
        </w:rPr>
        <w:t>物保护单位；</w:t>
      </w:r>
    </w:p>
    <w:p>
      <w:pPr>
        <w:pStyle w:val="BodyText"/>
        <w:spacing w:line="328" w:lineRule="auto"/>
        <w:ind w:right="230" w:firstLine="456"/>
      </w:pPr>
      <w:r>
        <w:rPr>
          <w:spacing w:val="-6"/>
        </w:rPr>
        <w:t>(五)容易发生火灾且一旦发生火灾可能造成重大人员伤亡</w:t>
      </w:r>
      <w:r>
        <w:rPr>
          <w:spacing w:val="-12"/>
        </w:rPr>
        <w:t>或者财产损失的其他单位。</w:t>
      </w:r>
    </w:p>
    <w:p>
      <w:pPr>
        <w:spacing w:after="0" w:line="328" w:lineRule="auto"/>
        <w:sectPr>
          <w:pgSz w:w="8400" w:h="11910"/>
          <w:pgMar w:header="0" w:footer="870" w:top="1100" w:bottom="980" w:left="820" w:right="780"/>
        </w:sectPr>
      </w:pPr>
    </w:p>
    <w:p>
      <w:pPr>
        <w:pStyle w:val="BodyText"/>
        <w:spacing w:line="328" w:lineRule="auto" w:before="144"/>
        <w:ind w:right="227" w:firstLine="456"/>
      </w:pPr>
      <w:r>
        <w:rPr>
          <w:spacing w:val="-5"/>
        </w:rPr>
        <w:t>火灾高危单位的具体界定按《湖南省火灾高危单位界定标</w:t>
      </w:r>
      <w:r>
        <w:rPr>
          <w:spacing w:val="-12"/>
        </w:rPr>
        <w:t>准》(附件)执行。</w:t>
      </w:r>
    </w:p>
    <w:p>
      <w:pPr>
        <w:pStyle w:val="BodyText"/>
        <w:spacing w:line="328" w:lineRule="auto"/>
        <w:ind w:right="227" w:firstLine="456"/>
        <w:jc w:val="both"/>
      </w:pPr>
      <w:r>
        <w:rPr>
          <w:spacing w:val="-15"/>
        </w:rPr>
        <w:t>各市州公安机关消防机构应对照《湖南省火灾高危单位界定</w:t>
      </w:r>
      <w:r>
        <w:rPr>
          <w:spacing w:val="-19"/>
        </w:rPr>
        <w:t>标准》，每年对辖区火灾高危单位进行界定，由主管公安机关报</w:t>
      </w:r>
      <w:r>
        <w:rPr>
          <w:spacing w:val="-12"/>
        </w:rPr>
        <w:t>本级人民政府备案并公布。</w:t>
      </w:r>
    </w:p>
    <w:p>
      <w:pPr>
        <w:pStyle w:val="BodyText"/>
        <w:spacing w:line="328" w:lineRule="auto"/>
        <w:ind w:right="228" w:firstLine="456"/>
        <w:jc w:val="both"/>
      </w:pPr>
      <w:r>
        <w:rPr>
          <w:spacing w:val="-16"/>
        </w:rPr>
        <w:t>第四条 火灾高危单位应当确定消防工作归口管理部门， 配备专职消防安全管理人员，建立由消防安全责任人、消防安全管理人、各级各岗位员工构成的消防安全管理网络。</w:t>
      </w:r>
    </w:p>
    <w:p>
      <w:pPr>
        <w:pStyle w:val="BodyText"/>
        <w:spacing w:line="328" w:lineRule="auto"/>
        <w:ind w:right="229" w:firstLine="456"/>
        <w:jc w:val="both"/>
      </w:pPr>
      <w:r>
        <w:rPr>
          <w:spacing w:val="-10"/>
        </w:rPr>
        <w:t>第五条 火灾高危单位应当结合自身特点，加强检查消除火</w:t>
      </w:r>
      <w:r>
        <w:rPr>
          <w:spacing w:val="-18"/>
        </w:rPr>
        <w:t>灾隐患、组织扑救初起火灾、组织人员疏散逃生、消防宣传教育</w:t>
      </w:r>
      <w:r>
        <w:rPr>
          <w:spacing w:val="-15"/>
        </w:rPr>
        <w:t>培训等消防安全“四个能力”的建设，每季度至少自行组织一次</w:t>
      </w:r>
      <w:r>
        <w:rPr>
          <w:spacing w:val="-19"/>
        </w:rPr>
        <w:t>“四个能力”建设评估，并将评估情况报辖区公安机关消防机构备案。</w:t>
      </w:r>
    </w:p>
    <w:p>
      <w:pPr>
        <w:pStyle w:val="Heading2"/>
        <w:spacing w:before="65"/>
        <w:ind w:left="1461" w:right="942"/>
      </w:pPr>
      <w:r>
        <w:rPr/>
        <w:t>第二章 消防安全责任</w:t>
      </w:r>
    </w:p>
    <w:p>
      <w:pPr>
        <w:pStyle w:val="BodyText"/>
        <w:spacing w:before="221"/>
        <w:ind w:left="656"/>
      </w:pPr>
      <w:r>
        <w:rPr/>
        <w:t>第六条 火灾高危单位应当履行以下消防安全职责：</w:t>
      </w:r>
    </w:p>
    <w:p>
      <w:pPr>
        <w:pStyle w:val="BodyText"/>
        <w:spacing w:line="328" w:lineRule="auto" w:before="112"/>
        <w:ind w:right="230" w:firstLine="456"/>
      </w:pPr>
      <w:r>
        <w:rPr>
          <w:spacing w:val="-6"/>
        </w:rPr>
        <w:t>(一)健全单位消防安全管理组织机构，落实消防安全责任</w:t>
      </w:r>
      <w:r>
        <w:rPr>
          <w:spacing w:val="-12"/>
        </w:rPr>
        <w:t>制；</w:t>
      </w:r>
    </w:p>
    <w:p>
      <w:pPr>
        <w:pStyle w:val="BodyText"/>
        <w:spacing w:line="328" w:lineRule="auto"/>
        <w:ind w:left="656" w:right="1302"/>
      </w:pPr>
      <w:r>
        <w:rPr>
          <w:spacing w:val="-13"/>
        </w:rPr>
        <w:t>(二)开展消防安全“四个能力”建设达标工作； </w:t>
      </w:r>
      <w:r>
        <w:rPr>
          <w:spacing w:val="-12"/>
        </w:rPr>
        <w:t>(三)落实消防安全“户籍化”管理工作要求；</w:t>
      </w:r>
    </w:p>
    <w:p>
      <w:pPr>
        <w:pStyle w:val="BodyText"/>
        <w:spacing w:line="306" w:lineRule="exact"/>
        <w:ind w:left="656"/>
      </w:pPr>
      <w:r>
        <w:rPr/>
        <w:t>(四)建立消防安全评估制度，按要求开展消防安全评估；</w:t>
      </w:r>
    </w:p>
    <w:p>
      <w:pPr>
        <w:pStyle w:val="BodyText"/>
        <w:spacing w:line="328" w:lineRule="auto" w:before="110"/>
        <w:ind w:right="120" w:firstLine="456"/>
      </w:pPr>
      <w:r>
        <w:rPr>
          <w:spacing w:val="-27"/>
        </w:rPr>
        <w:t>(五)按照《社会单位消防安全标准化管理》(</w:t>
      </w:r>
      <w:r>
        <w:rPr>
          <w:spacing w:val="-6"/>
        </w:rPr>
        <w:t>DB43/T581</w:t>
      </w:r>
      <w:r>
        <w:rPr>
          <w:spacing w:val="-37"/>
        </w:rPr>
        <w:t>- </w:t>
      </w:r>
      <w:r>
        <w:rPr>
          <w:spacing w:val="-6"/>
        </w:rPr>
        <w:t>2010) </w:t>
      </w:r>
      <w:r>
        <w:rPr>
          <w:spacing w:val="-12"/>
        </w:rPr>
        <w:t>要求实施消防安全标准化管理；</w:t>
      </w:r>
    </w:p>
    <w:p>
      <w:pPr>
        <w:spacing w:after="0" w:line="328" w:lineRule="auto"/>
        <w:sectPr>
          <w:pgSz w:w="8400" w:h="11910"/>
          <w:pgMar w:header="0" w:footer="870" w:top="1100" w:bottom="1060" w:left="820" w:right="780"/>
        </w:sectPr>
      </w:pPr>
    </w:p>
    <w:p>
      <w:pPr>
        <w:pStyle w:val="BodyText"/>
        <w:spacing w:line="328" w:lineRule="auto" w:before="144"/>
        <w:ind w:right="229" w:firstLine="456"/>
      </w:pPr>
      <w:r>
        <w:rPr>
          <w:spacing w:val="-17"/>
        </w:rPr>
        <w:t>(六)组建专职(志愿)消防队，按要求配置人员和装备，并落</w:t>
      </w:r>
      <w:r>
        <w:rPr>
          <w:spacing w:val="-12"/>
        </w:rPr>
        <w:t>实场地；</w:t>
      </w:r>
    </w:p>
    <w:p>
      <w:pPr>
        <w:pStyle w:val="BodyText"/>
        <w:spacing w:line="328" w:lineRule="auto"/>
        <w:ind w:left="656" w:right="206"/>
      </w:pPr>
      <w:r>
        <w:rPr>
          <w:spacing w:val="-13"/>
        </w:rPr>
        <w:t>(七)参加火灾公众责任保险，积极配合开展保险服务工作； </w:t>
      </w:r>
      <w:r>
        <w:rPr>
          <w:spacing w:val="-12"/>
        </w:rPr>
        <w:t>(八)落实消防安全管理各项保障措施；</w:t>
      </w:r>
    </w:p>
    <w:p>
      <w:pPr>
        <w:pStyle w:val="BodyText"/>
        <w:spacing w:line="328" w:lineRule="auto"/>
        <w:ind w:right="227" w:firstLine="456"/>
      </w:pPr>
      <w:r>
        <w:rPr>
          <w:spacing w:val="-15"/>
        </w:rPr>
        <w:t>(九)按照消防安全重点单位档案要求，建立健全单位消防档</w:t>
      </w:r>
      <w:r>
        <w:rPr>
          <w:spacing w:val="-12"/>
        </w:rPr>
        <w:t>案；</w:t>
      </w:r>
    </w:p>
    <w:p>
      <w:pPr>
        <w:pStyle w:val="BodyText"/>
        <w:spacing w:line="306" w:lineRule="exact"/>
        <w:ind w:left="656"/>
      </w:pPr>
      <w:r>
        <w:rPr/>
        <w:t>(十)法律、法规规定的其他消防安全职责。</w:t>
      </w:r>
    </w:p>
    <w:p>
      <w:pPr>
        <w:pStyle w:val="BodyText"/>
        <w:spacing w:line="328" w:lineRule="auto" w:before="108"/>
        <w:ind w:right="229" w:firstLine="456"/>
      </w:pPr>
      <w:r>
        <w:rPr>
          <w:spacing w:val="-10"/>
        </w:rPr>
        <w:t>第七条 火灾高危单位的消防工作归口管理部门具体组织实</w:t>
      </w:r>
      <w:r>
        <w:rPr>
          <w:spacing w:val="-12"/>
        </w:rPr>
        <w:t>施本单位消防安全管理工作，履行下列消防安全职责：</w:t>
      </w:r>
    </w:p>
    <w:p>
      <w:pPr>
        <w:pStyle w:val="BodyText"/>
        <w:spacing w:line="328" w:lineRule="auto"/>
        <w:ind w:right="239" w:firstLine="456"/>
      </w:pPr>
      <w:r>
        <w:rPr>
          <w:spacing w:val="-15"/>
        </w:rPr>
        <w:t>(一)制定并组织实施本单位年度消防工作计划，定期向辖区</w:t>
      </w:r>
      <w:r>
        <w:rPr>
          <w:spacing w:val="-12"/>
        </w:rPr>
        <w:t>公安机关消防机构报告本单位消防安全状况；</w:t>
      </w:r>
    </w:p>
    <w:p>
      <w:pPr>
        <w:pStyle w:val="BodyText"/>
        <w:spacing w:line="328" w:lineRule="auto"/>
        <w:ind w:right="239" w:firstLine="456"/>
      </w:pPr>
      <w:r>
        <w:rPr>
          <w:spacing w:val="-15"/>
        </w:rPr>
        <w:t>(二)与本单位各部门签订年度消防安全责任状，明确各级各</w:t>
      </w:r>
      <w:r>
        <w:rPr>
          <w:spacing w:val="-12"/>
        </w:rPr>
        <w:t>岗位消防安全责任；</w:t>
      </w:r>
    </w:p>
    <w:p>
      <w:pPr>
        <w:pStyle w:val="BodyText"/>
        <w:spacing w:line="328" w:lineRule="auto"/>
        <w:ind w:right="227" w:firstLine="456"/>
        <w:jc w:val="both"/>
      </w:pPr>
      <w:r>
        <w:rPr>
          <w:spacing w:val="-14"/>
        </w:rPr>
        <w:t>(三)检查本单位各部门遵守消防法律法规、落实消防安全责</w:t>
      </w:r>
      <w:r>
        <w:rPr>
          <w:spacing w:val="-19"/>
        </w:rPr>
        <w:t>任、执行消防安全制度和消防安全操作规程、开展灭火和应急疏</w:t>
      </w:r>
      <w:r>
        <w:rPr>
          <w:spacing w:val="-12"/>
        </w:rPr>
        <w:t>散演练的相关情况；</w:t>
      </w:r>
    </w:p>
    <w:p>
      <w:pPr>
        <w:pStyle w:val="BodyText"/>
        <w:spacing w:line="328" w:lineRule="auto"/>
        <w:ind w:right="227" w:firstLine="456"/>
      </w:pPr>
      <w:r>
        <w:rPr>
          <w:spacing w:val="-15"/>
        </w:rPr>
        <w:t>(四)对火灾隐患和消防安全违法行为进行跟踪督办，并实施</w:t>
      </w:r>
      <w:r>
        <w:rPr>
          <w:spacing w:val="-12"/>
        </w:rPr>
        <w:t>责任追宄；</w:t>
      </w:r>
    </w:p>
    <w:p>
      <w:pPr>
        <w:pStyle w:val="BodyText"/>
        <w:spacing w:line="305" w:lineRule="exact"/>
        <w:ind w:left="656"/>
      </w:pPr>
      <w:r>
        <w:rPr/>
        <w:t>(五)确定专职消防安全管理人员；</w:t>
      </w:r>
    </w:p>
    <w:p>
      <w:pPr>
        <w:pStyle w:val="BodyText"/>
        <w:spacing w:line="328" w:lineRule="auto" w:before="102"/>
        <w:ind w:right="227" w:firstLine="456"/>
      </w:pPr>
      <w:r>
        <w:rPr>
          <w:spacing w:val="-15"/>
        </w:rPr>
        <w:t>(六)明确专职(志愿)消防队工作职责，制定有关管理规定和</w:t>
      </w:r>
      <w:r>
        <w:rPr>
          <w:spacing w:val="-12"/>
        </w:rPr>
        <w:t>工作制度；</w:t>
      </w:r>
    </w:p>
    <w:p>
      <w:pPr>
        <w:pStyle w:val="BodyText"/>
        <w:spacing w:line="305" w:lineRule="exact"/>
        <w:ind w:left="656"/>
      </w:pPr>
      <w:r>
        <w:rPr/>
        <w:t>(七)法律、法规规定的其他消防安全职责。</w:t>
      </w:r>
    </w:p>
    <w:p>
      <w:pPr>
        <w:spacing w:after="0" w:line="305" w:lineRule="exact"/>
        <w:sectPr>
          <w:pgSz w:w="8400" w:h="11910"/>
          <w:pgMar w:header="0" w:footer="870" w:top="1100" w:bottom="1060" w:left="820" w:right="780"/>
        </w:sectPr>
      </w:pPr>
    </w:p>
    <w:p>
      <w:pPr>
        <w:pStyle w:val="BodyText"/>
        <w:spacing w:line="328" w:lineRule="auto" w:before="144"/>
        <w:ind w:right="229" w:firstLine="456"/>
      </w:pPr>
      <w:r>
        <w:rPr/>
        <w:t>第八条 专职消防安全管理人员应当履行下列消防安全职责：</w:t>
      </w:r>
    </w:p>
    <w:p>
      <w:pPr>
        <w:pStyle w:val="BodyText"/>
        <w:spacing w:line="328" w:lineRule="auto"/>
        <w:ind w:right="239" w:firstLine="456"/>
      </w:pPr>
      <w:r>
        <w:rPr>
          <w:spacing w:val="-15"/>
        </w:rPr>
        <w:t>(一)熟悉国家消防法律法规和本单位消防安全制度、消防安</w:t>
      </w:r>
      <w:r>
        <w:rPr>
          <w:spacing w:val="-12"/>
        </w:rPr>
        <w:t>全操作规程、灭火和应急疏散预案；</w:t>
      </w:r>
    </w:p>
    <w:p>
      <w:pPr>
        <w:pStyle w:val="BodyText"/>
        <w:spacing w:line="305" w:lineRule="exact"/>
        <w:ind w:left="656"/>
      </w:pPr>
      <w:r>
        <w:rPr/>
        <w:t>(二)协助消防安全管理人组织实施日常消防安全管理；</w:t>
      </w:r>
    </w:p>
    <w:p>
      <w:pPr>
        <w:pStyle w:val="BodyText"/>
        <w:spacing w:line="328" w:lineRule="auto" w:before="110"/>
        <w:ind w:right="238" w:firstLine="456"/>
        <w:jc w:val="both"/>
      </w:pPr>
      <w:r>
        <w:rPr>
          <w:spacing w:val="-17"/>
        </w:rPr>
        <w:t>(三)修订完善单位消防安全制度、消防安全操作规程、灭火</w:t>
      </w:r>
      <w:r>
        <w:rPr>
          <w:spacing w:val="-11"/>
        </w:rPr>
        <w:t>和应急疏散预案。指导各部门和岗位制订部门、岗位消防 安全</w:t>
      </w:r>
      <w:r>
        <w:rPr>
          <w:spacing w:val="-12"/>
        </w:rPr>
        <w:t>制度、消防安全操作规程、灭火和应急疏散预案；</w:t>
      </w:r>
    </w:p>
    <w:p>
      <w:pPr>
        <w:pStyle w:val="BodyText"/>
        <w:spacing w:line="328" w:lineRule="auto"/>
        <w:ind w:right="230" w:firstLine="456"/>
      </w:pPr>
      <w:r>
        <w:rPr>
          <w:spacing w:val="-6"/>
        </w:rPr>
        <w:t>(四)按照公安机关消防机构要求落实消防安全“户籍化” </w:t>
      </w:r>
      <w:r>
        <w:rPr>
          <w:spacing w:val="-12"/>
        </w:rPr>
        <w:t>管理有关工作措施；</w:t>
      </w:r>
    </w:p>
    <w:p>
      <w:pPr>
        <w:pStyle w:val="BodyText"/>
        <w:spacing w:line="328" w:lineRule="auto"/>
        <w:ind w:right="239" w:firstLine="456"/>
      </w:pPr>
      <w:r>
        <w:rPr>
          <w:spacing w:val="-17"/>
        </w:rPr>
        <w:t>(五)定期组织开展防火巡查、消防安全宣传教育培训和消防</w:t>
      </w:r>
      <w:r>
        <w:rPr>
          <w:spacing w:val="-12"/>
        </w:rPr>
        <w:t>演练；</w:t>
      </w:r>
    </w:p>
    <w:p>
      <w:pPr>
        <w:pStyle w:val="BodyText"/>
        <w:spacing w:line="305" w:lineRule="exact"/>
        <w:ind w:left="656"/>
      </w:pPr>
      <w:r>
        <w:rPr/>
        <w:t>(六)负责单位专职(志愿)消防队的日常管理；</w:t>
      </w:r>
    </w:p>
    <w:p>
      <w:pPr>
        <w:pStyle w:val="BodyText"/>
        <w:spacing w:before="107"/>
        <w:ind w:left="656"/>
      </w:pPr>
      <w:r>
        <w:rPr/>
        <w:t>(七)消防安全管理人委托的其他消防安全管理工作。</w:t>
      </w:r>
    </w:p>
    <w:p>
      <w:pPr>
        <w:pStyle w:val="BodyText"/>
        <w:spacing w:line="328" w:lineRule="auto" w:before="113"/>
        <w:ind w:right="229" w:firstLine="456"/>
        <w:jc w:val="both"/>
      </w:pPr>
      <w:r>
        <w:rPr>
          <w:spacing w:val="-10"/>
        </w:rPr>
        <w:t>第九条 火灾高危单位应当依照法律、法规规定组建专职消</w:t>
      </w:r>
      <w:r>
        <w:rPr>
          <w:spacing w:val="-12"/>
        </w:rPr>
        <w:t>防队或志愿消防队。</w:t>
      </w:r>
    </w:p>
    <w:p>
      <w:pPr>
        <w:pStyle w:val="BodyText"/>
        <w:spacing w:line="328" w:lineRule="auto"/>
        <w:ind w:right="239" w:firstLine="456"/>
        <w:jc w:val="both"/>
      </w:pPr>
      <w:r>
        <w:rPr>
          <w:spacing w:val="-15"/>
        </w:rPr>
        <w:t>依法不需要组建专职消防队的应当组建志愿消防队，志愿消防队队员的数量应当按灭火和应急疏散预案要求进行配置，且不</w:t>
      </w:r>
      <w:r>
        <w:rPr>
          <w:spacing w:val="-17"/>
        </w:rPr>
        <w:t>应少于单位员工总数的 </w:t>
      </w:r>
      <w:r>
        <w:rPr>
          <w:spacing w:val="-6"/>
        </w:rPr>
        <w:t>30</w:t>
      </w:r>
      <w:r>
        <w:rPr>
          <w:spacing w:val="-3"/>
        </w:rPr>
        <w:t>%。</w:t>
      </w:r>
    </w:p>
    <w:p>
      <w:pPr>
        <w:pStyle w:val="BodyText"/>
        <w:spacing w:line="328" w:lineRule="auto"/>
        <w:ind w:right="227" w:firstLine="456"/>
        <w:jc w:val="both"/>
      </w:pPr>
      <w:r>
        <w:rPr>
          <w:spacing w:val="-16"/>
        </w:rPr>
        <w:t>火灾高危单位应当制订专职(志愿)消防队管理规定，管理规</w:t>
      </w:r>
      <w:r>
        <w:rPr>
          <w:spacing w:val="-6"/>
        </w:rPr>
        <w:t>定包括专职(志愿)消防队人员组成及分工、队伍建设、装备配</w:t>
      </w:r>
      <w:r>
        <w:rPr>
          <w:spacing w:val="-17"/>
        </w:rPr>
        <w:t>备、业务训练、教育管理、值班备勤、考核奖惩等制度和队伍建</w:t>
      </w:r>
    </w:p>
    <w:p>
      <w:pPr>
        <w:spacing w:after="0" w:line="328" w:lineRule="auto"/>
        <w:jc w:val="both"/>
        <w:sectPr>
          <w:pgSz w:w="8400" w:h="11910"/>
          <w:pgMar w:header="0" w:footer="870" w:top="1100" w:bottom="1060" w:left="820" w:right="780"/>
        </w:sectPr>
      </w:pPr>
    </w:p>
    <w:p>
      <w:pPr>
        <w:pStyle w:val="BodyText"/>
        <w:spacing w:before="144"/>
      </w:pPr>
      <w:r>
        <w:rPr/>
        <w:t>设各项保障措施。</w:t>
      </w:r>
    </w:p>
    <w:p>
      <w:pPr>
        <w:pStyle w:val="BodyText"/>
        <w:spacing w:line="328" w:lineRule="auto" w:before="113"/>
        <w:ind w:right="227" w:firstLine="456"/>
        <w:jc w:val="both"/>
      </w:pPr>
      <w:r>
        <w:rPr>
          <w:spacing w:val="-14"/>
        </w:rPr>
        <w:t>专职(志愿)消防队员的职责包括防火检查巡查、消防宣传教</w:t>
      </w:r>
      <w:r>
        <w:rPr>
          <w:spacing w:val="-18"/>
        </w:rPr>
        <w:t>育、灭火和应急疏散、火灾扑救和现场保护、配合调查火灾原因</w:t>
      </w:r>
      <w:r>
        <w:rPr>
          <w:spacing w:val="-12"/>
        </w:rPr>
        <w:t>等内容。</w:t>
      </w:r>
    </w:p>
    <w:p>
      <w:pPr>
        <w:pStyle w:val="BodyText"/>
        <w:spacing w:line="328" w:lineRule="auto"/>
        <w:ind w:right="230" w:firstLine="456"/>
        <w:jc w:val="both"/>
      </w:pPr>
      <w:r>
        <w:rPr>
          <w:spacing w:val="3"/>
        </w:rPr>
        <w:t>专职(志愿)消防队应当接受辖区公安机关消防机构的指</w:t>
      </w:r>
      <w:r>
        <w:rPr>
          <w:spacing w:val="-19"/>
        </w:rPr>
        <w:t>导，定期参加消防知识、灭火和应急疏散技能培训，定期开展灭</w:t>
      </w:r>
      <w:r>
        <w:rPr>
          <w:spacing w:val="-12"/>
        </w:rPr>
        <w:t>火和应急疏散演练。</w:t>
      </w:r>
    </w:p>
    <w:p>
      <w:pPr>
        <w:pStyle w:val="BodyText"/>
        <w:ind w:left="0"/>
      </w:pPr>
    </w:p>
    <w:p>
      <w:pPr>
        <w:pStyle w:val="Heading2"/>
        <w:spacing w:before="185"/>
        <w:ind w:right="40"/>
      </w:pPr>
      <w:r>
        <w:rPr/>
        <w:t>第三章 消防安全管理</w:t>
      </w:r>
    </w:p>
    <w:p>
      <w:pPr>
        <w:pStyle w:val="BodyText"/>
        <w:ind w:left="0"/>
        <w:rPr>
          <w:b/>
          <w:sz w:val="28"/>
        </w:rPr>
      </w:pPr>
    </w:p>
    <w:p>
      <w:pPr>
        <w:pStyle w:val="BodyText"/>
        <w:ind w:left="0"/>
        <w:rPr>
          <w:b/>
          <w:sz w:val="22"/>
        </w:rPr>
      </w:pPr>
    </w:p>
    <w:p>
      <w:pPr>
        <w:pStyle w:val="BodyText"/>
        <w:spacing w:line="328" w:lineRule="auto" w:before="1"/>
        <w:ind w:right="206" w:firstLine="456"/>
        <w:jc w:val="right"/>
      </w:pPr>
      <w:r>
        <w:rPr>
          <w:spacing w:val="-10"/>
        </w:rPr>
        <w:t>第十条 火灾高危单位应当按照国家有关规定，结合本单位</w:t>
      </w:r>
      <w:r>
        <w:rPr>
          <w:spacing w:val="-13"/>
        </w:rPr>
        <w:t>的特点，建立健全各项消防安全管理制度和消防安全操作规程。</w:t>
      </w:r>
      <w:r>
        <w:rPr>
          <w:spacing w:val="-16"/>
        </w:rPr>
        <w:t>消防安全制度主要包括以下内容：消防安全教育培训；防火</w:t>
      </w:r>
    </w:p>
    <w:p>
      <w:pPr>
        <w:pStyle w:val="BodyText"/>
        <w:spacing w:line="328" w:lineRule="auto"/>
        <w:ind w:right="227"/>
        <w:jc w:val="both"/>
      </w:pPr>
      <w:r>
        <w:rPr>
          <w:spacing w:val="-17"/>
        </w:rPr>
        <w:t>巡查检查；安全疏散设施管理；消防值班；消防设施、器材维护</w:t>
      </w:r>
      <w:r>
        <w:rPr>
          <w:spacing w:val="-18"/>
        </w:rPr>
        <w:t>管理；火灾隐患整改；用火用电安全管理；易燃易爆危险物品和</w:t>
      </w:r>
      <w:r>
        <w:rPr>
          <w:spacing w:val="-17"/>
        </w:rPr>
        <w:t>场所防火防爆；专职(志愿)消防队组织管理；灭火和应急疏散预</w:t>
      </w:r>
      <w:r>
        <w:rPr>
          <w:spacing w:val="-18"/>
        </w:rPr>
        <w:t>案演练；燃气和电气设备管理；消防工作考评奖惩；其他必要的消防工作内容。</w:t>
      </w:r>
    </w:p>
    <w:p>
      <w:pPr>
        <w:pStyle w:val="BodyText"/>
        <w:spacing w:line="328" w:lineRule="auto"/>
        <w:ind w:right="229" w:firstLine="456"/>
        <w:jc w:val="both"/>
      </w:pPr>
      <w:r>
        <w:rPr>
          <w:spacing w:val="-10"/>
        </w:rPr>
        <w:t>第十一条 火灾高危单位应当将容易发生火灾、一旦发生火</w:t>
      </w:r>
      <w:r>
        <w:rPr>
          <w:spacing w:val="-5"/>
        </w:rPr>
        <w:t>灾可能严重危及人身和财产安全以及对消防安全有重大影响的</w:t>
      </w:r>
      <w:r>
        <w:rPr>
          <w:spacing w:val="-15"/>
        </w:rPr>
        <w:t>部位确定为消防安全重点部位，并按照《社会单位消防安全标准</w:t>
      </w:r>
      <w:r>
        <w:rPr>
          <w:spacing w:val="-18"/>
        </w:rPr>
        <w:t>化管理》(</w:t>
      </w:r>
      <w:r>
        <w:rPr>
          <w:spacing w:val="-7"/>
        </w:rPr>
        <w:t>DB43/T581-2010)</w:t>
      </w:r>
      <w:r>
        <w:rPr>
          <w:spacing w:val="-17"/>
        </w:rPr>
        <w:t>要求，对消防安全重点部位实行标准</w:t>
      </w:r>
    </w:p>
    <w:p>
      <w:pPr>
        <w:spacing w:after="0" w:line="328" w:lineRule="auto"/>
        <w:jc w:val="both"/>
        <w:sectPr>
          <w:pgSz w:w="8400" w:h="11910"/>
          <w:pgMar w:header="0" w:footer="870" w:top="1100" w:bottom="1060" w:left="820" w:right="780"/>
        </w:sectPr>
      </w:pPr>
    </w:p>
    <w:p>
      <w:pPr>
        <w:pStyle w:val="BodyText"/>
        <w:spacing w:line="328" w:lineRule="auto" w:before="144"/>
        <w:ind w:left="656" w:right="229" w:hanging="456"/>
        <w:jc w:val="both"/>
      </w:pPr>
      <w:r>
        <w:rPr>
          <w:spacing w:val="-12"/>
        </w:rPr>
        <w:t>化管理，设置消防安全标识，明确责任人员，落实管理措施。</w:t>
      </w:r>
      <w:r>
        <w:rPr>
          <w:spacing w:val="-10"/>
        </w:rPr>
        <w:t>第十二条 火灾高危单位应当制订用火、用电、用气、用油</w:t>
      </w:r>
    </w:p>
    <w:p>
      <w:pPr>
        <w:pStyle w:val="BodyText"/>
        <w:spacing w:line="328" w:lineRule="auto"/>
        <w:ind w:right="229"/>
        <w:jc w:val="both"/>
      </w:pPr>
      <w:r>
        <w:rPr>
          <w:spacing w:val="-16"/>
        </w:rPr>
        <w:t>及易燃易爆危险品管理制度、安全操作规程和应急处置方法，定</w:t>
      </w:r>
      <w:r>
        <w:rPr>
          <w:spacing w:val="-17"/>
        </w:rPr>
        <w:t>期对设备及其管线(路)进行维护保养、检测和检查，确保设备及</w:t>
      </w:r>
      <w:r>
        <w:rPr>
          <w:spacing w:val="-12"/>
        </w:rPr>
        <w:t>管线(路)完好有效。</w:t>
      </w:r>
    </w:p>
    <w:p>
      <w:pPr>
        <w:pStyle w:val="BodyText"/>
        <w:spacing w:line="328" w:lineRule="auto"/>
        <w:ind w:right="227" w:firstLine="456"/>
        <w:jc w:val="both"/>
      </w:pPr>
      <w:r>
        <w:rPr>
          <w:spacing w:val="-10"/>
        </w:rPr>
        <w:t>第十三条 火灾高危单位按照国家消防技术标准设置的消防</w:t>
      </w:r>
      <w:r>
        <w:rPr>
          <w:spacing w:val="-14"/>
        </w:rPr>
        <w:t>控制室，应当实行 </w:t>
      </w:r>
      <w:r>
        <w:rPr>
          <w:spacing w:val="-3"/>
        </w:rPr>
        <w:t>24</w:t>
      </w:r>
      <w:r>
        <w:rPr>
          <w:spacing w:val="-16"/>
        </w:rPr>
        <w:t> 小时专职人员值班制度。消防控制室应当</w:t>
      </w:r>
      <w:r>
        <w:rPr>
          <w:spacing w:val="-20"/>
        </w:rPr>
        <w:t>悬挂值班制度、火灾接警处置流程、消防设施设备布置图等有关</w:t>
      </w:r>
      <w:r>
        <w:rPr>
          <w:spacing w:val="-5"/>
        </w:rPr>
        <w:t>制度和图表，按照《消防法》、《消防控制室通用技术要求》</w:t>
      </w:r>
      <w:r>
        <w:rPr>
          <w:spacing w:val="-7"/>
        </w:rPr>
        <w:t>(GB25506</w:t>
      </w:r>
      <w:r>
        <w:rPr>
          <w:spacing w:val="-10"/>
        </w:rPr>
        <w:t>)执行持证上岗制度，确保自动消防设施值班操作人员</w:t>
      </w:r>
      <w:r>
        <w:rPr>
          <w:spacing w:val="-16"/>
        </w:rPr>
        <w:t>熟悉火灾接警处置流程，熟练操作自动消防设施，规范填写消防</w:t>
      </w:r>
      <w:r>
        <w:rPr>
          <w:spacing w:val="-11"/>
        </w:rPr>
        <w:t>控制室值班记录、防火巡查记录、防火检查记录、 火灾隐患整</w:t>
      </w:r>
      <w:r>
        <w:rPr>
          <w:spacing w:val="-12"/>
        </w:rPr>
        <w:t>改跟踪记录等档案资料。</w:t>
      </w:r>
    </w:p>
    <w:p>
      <w:pPr>
        <w:pStyle w:val="BodyText"/>
        <w:spacing w:line="328" w:lineRule="auto"/>
        <w:ind w:right="227" w:firstLine="456"/>
        <w:jc w:val="both"/>
      </w:pPr>
      <w:r>
        <w:rPr>
          <w:spacing w:val="-10"/>
        </w:rPr>
        <w:t>第十四条 火灾高危单位应当按照国家规范要求设置疏散通</w:t>
      </w:r>
      <w:r>
        <w:rPr>
          <w:spacing w:val="-17"/>
        </w:rPr>
        <w:t>道、安全出口并保持畅通，按国家、行业或地方标准设置消防安</w:t>
      </w:r>
      <w:r>
        <w:rPr>
          <w:spacing w:val="-16"/>
        </w:rPr>
        <w:t>全疏散指示标志和应急照明，划定安全疏散逃生责任区，确定各责任区疏散引导员。</w:t>
      </w:r>
    </w:p>
    <w:p>
      <w:pPr>
        <w:pStyle w:val="BodyText"/>
        <w:spacing w:line="328" w:lineRule="auto"/>
        <w:ind w:right="227" w:firstLine="456"/>
      </w:pPr>
      <w:r>
        <w:rPr>
          <w:spacing w:val="-5"/>
        </w:rPr>
        <w:t>人员密集场所应当在疏散通道地面上设置不间断的疏散指</w:t>
      </w:r>
      <w:r>
        <w:rPr>
          <w:spacing w:val="-12"/>
        </w:rPr>
        <w:t>示，严禁设置影响逃生和灭火救援的障碍物。</w:t>
      </w:r>
    </w:p>
    <w:p>
      <w:pPr>
        <w:pStyle w:val="BodyText"/>
        <w:spacing w:line="328" w:lineRule="auto"/>
        <w:ind w:right="227" w:firstLine="456"/>
      </w:pPr>
      <w:r>
        <w:rPr>
          <w:spacing w:val="-15"/>
        </w:rPr>
        <w:t>第十五条火灾高危单位应当根据有关标准配置消防设施、器</w:t>
      </w:r>
      <w:r>
        <w:rPr>
          <w:spacing w:val="-12"/>
        </w:rPr>
        <w:t>材，消防控制室应当配置应急救援和防火检查装备。</w:t>
      </w:r>
    </w:p>
    <w:p>
      <w:pPr>
        <w:pStyle w:val="BodyText"/>
        <w:spacing w:line="305" w:lineRule="exact"/>
        <w:ind w:left="656"/>
      </w:pPr>
      <w:r>
        <w:rPr>
          <w:spacing w:val="-16"/>
        </w:rPr>
        <w:t>火灾高危单位应当每月对消防设施、器材进行维护保养，委</w:t>
      </w:r>
    </w:p>
    <w:p>
      <w:pPr>
        <w:spacing w:after="0" w:line="305" w:lineRule="exact"/>
        <w:sectPr>
          <w:pgSz w:w="8400" w:h="11910"/>
          <w:pgMar w:header="0" w:footer="870" w:top="1100" w:bottom="1060" w:left="820" w:right="780"/>
        </w:sectPr>
      </w:pPr>
    </w:p>
    <w:p>
      <w:pPr>
        <w:pStyle w:val="BodyText"/>
        <w:spacing w:line="328" w:lineRule="auto" w:before="144"/>
        <w:ind w:right="235"/>
      </w:pPr>
      <w:r>
        <w:rPr>
          <w:spacing w:val="-6"/>
        </w:rPr>
        <w:t>托有资质的消防设施检测单位对消防设施每年至少进行一次检</w:t>
      </w:r>
      <w:r>
        <w:rPr>
          <w:spacing w:val="-12"/>
        </w:rPr>
        <w:t>测，确保消防设施、器材完好有效。</w:t>
      </w:r>
    </w:p>
    <w:p>
      <w:pPr>
        <w:pStyle w:val="BodyText"/>
        <w:spacing w:line="328" w:lineRule="auto"/>
        <w:ind w:right="229" w:firstLine="456"/>
        <w:jc w:val="both"/>
      </w:pPr>
      <w:r>
        <w:rPr>
          <w:spacing w:val="-10"/>
        </w:rPr>
        <w:t>第十六条 消防安全重点部位、消防设施和器材设置处应设</w:t>
      </w:r>
      <w:r>
        <w:rPr>
          <w:spacing w:val="-18"/>
        </w:rPr>
        <w:t>置消防标识，内容包括设施和器材的名称、使用方法、正常运行</w:t>
      </w:r>
      <w:r>
        <w:rPr>
          <w:spacing w:val="-12"/>
        </w:rPr>
        <w:t>状态、检查要点等，消防标识要清晰、美观、通俗易懂。</w:t>
      </w:r>
    </w:p>
    <w:p>
      <w:pPr>
        <w:pStyle w:val="BodyText"/>
        <w:spacing w:line="328" w:lineRule="auto"/>
        <w:ind w:right="229" w:firstLine="456"/>
        <w:jc w:val="both"/>
      </w:pPr>
      <w:r>
        <w:rPr>
          <w:spacing w:val="-1"/>
        </w:rPr>
        <w:t>第十七条 火灾高危单位应当实施消防安全“户籍化”管</w:t>
      </w:r>
      <w:r>
        <w:rPr>
          <w:spacing w:val="-5"/>
        </w:rPr>
        <w:t>理，并通过消防安全重点单位“户籍化”管理系统完善单位信</w:t>
      </w:r>
      <w:r>
        <w:rPr>
          <w:spacing w:val="-18"/>
        </w:rPr>
        <w:t>息，定期将消防安全从业人员变更情况、消防设施设备运行、维</w:t>
      </w:r>
      <w:r>
        <w:rPr>
          <w:spacing w:val="-12"/>
        </w:rPr>
        <w:t>护保养、年度检测情况报辖区公安机关消防机构备案。</w:t>
      </w:r>
    </w:p>
    <w:p>
      <w:pPr>
        <w:pStyle w:val="Heading2"/>
        <w:spacing w:before="69"/>
        <w:ind w:left="1689"/>
        <w:jc w:val="both"/>
      </w:pPr>
      <w:r>
        <w:rPr/>
        <w:t>第四章 消防宣传教育培训</w:t>
      </w:r>
    </w:p>
    <w:p>
      <w:pPr>
        <w:pStyle w:val="BodyText"/>
        <w:spacing w:line="328" w:lineRule="auto" w:before="221"/>
        <w:ind w:right="206" w:firstLine="456"/>
        <w:jc w:val="right"/>
      </w:pPr>
      <w:r>
        <w:rPr/>
        <w:t>第十八条 火灾高危单位应当设置固定的消防宣传教育载</w:t>
      </w:r>
      <w:r>
        <w:rPr>
          <w:spacing w:val="-13"/>
        </w:rPr>
        <w:t>体，加强内部消防安全宣传教育，积极参与社会消防安全宣传。</w:t>
      </w:r>
      <w:r>
        <w:rPr>
          <w:spacing w:val="-10"/>
        </w:rPr>
        <w:t>第十九条 火灾高危单位对每名员工应当至少每年进行一次</w:t>
      </w:r>
    </w:p>
    <w:p>
      <w:pPr>
        <w:pStyle w:val="BodyText"/>
        <w:spacing w:line="328" w:lineRule="auto"/>
        <w:ind w:right="239"/>
        <w:jc w:val="both"/>
      </w:pPr>
      <w:r>
        <w:rPr>
          <w:spacing w:val="-18"/>
        </w:rPr>
        <w:t>消防安全集中培训。人员密集场所对员工的消防安全培训应当至少每半年进行一次。对新上岗和进入新岗位的员工，应当组织上</w:t>
      </w:r>
      <w:r>
        <w:rPr>
          <w:spacing w:val="-12"/>
        </w:rPr>
        <w:t>岗前的集中消防安全培训。</w:t>
      </w:r>
    </w:p>
    <w:p>
      <w:pPr>
        <w:pStyle w:val="BodyText"/>
        <w:spacing w:line="328" w:lineRule="auto"/>
        <w:ind w:right="227" w:firstLine="456"/>
        <w:jc w:val="both"/>
      </w:pPr>
      <w:r>
        <w:rPr>
          <w:spacing w:val="-1"/>
        </w:rPr>
        <w:t>第二十条 人员密集场所应当开展消防安全“三提示”工</w:t>
      </w:r>
      <w:r>
        <w:rPr>
          <w:spacing w:val="-25"/>
        </w:rPr>
        <w:t>作，在公共部位设置告示牌和安全疏散指示图，定时播放消防 安</w:t>
      </w:r>
      <w:r>
        <w:rPr>
          <w:spacing w:val="-19"/>
        </w:rPr>
        <w:t>全广播。配有音像视频系统的人员密集场所，应当设置“消防三</w:t>
      </w:r>
      <w:r>
        <w:rPr>
          <w:spacing w:val="-20"/>
        </w:rPr>
        <w:t>分钟”提示，在醒目位置滚动播出消防安全知识和疏散逃生指南</w:t>
      </w:r>
      <w:r>
        <w:rPr>
          <w:spacing w:val="-12"/>
        </w:rPr>
        <w:t>等消防公益广告视频。</w:t>
      </w:r>
    </w:p>
    <w:p>
      <w:pPr>
        <w:pStyle w:val="BodyText"/>
        <w:spacing w:line="302" w:lineRule="exact"/>
        <w:ind w:left="656"/>
        <w:jc w:val="both"/>
      </w:pPr>
      <w:r>
        <w:rPr/>
        <w:t>第二十一条 自动消防设施的值班操作、维护保养人员应经</w:t>
      </w:r>
    </w:p>
    <w:p>
      <w:pPr>
        <w:spacing w:after="0" w:line="302" w:lineRule="exact"/>
        <w:jc w:val="both"/>
        <w:sectPr>
          <w:pgSz w:w="8400" w:h="11910"/>
          <w:pgMar w:header="0" w:footer="870" w:top="1100" w:bottom="1060" w:left="820" w:right="780"/>
        </w:sectPr>
      </w:pPr>
    </w:p>
    <w:p>
      <w:pPr>
        <w:pStyle w:val="BodyText"/>
        <w:spacing w:line="328" w:lineRule="auto" w:before="144"/>
        <w:ind w:right="240"/>
        <w:jc w:val="both"/>
      </w:pPr>
      <w:r>
        <w:rPr>
          <w:spacing w:val="-17"/>
        </w:rPr>
        <w:t>专门培训并经职业技能鉴定合格。消防安全责任人、其他消防安</w:t>
      </w:r>
      <w:r>
        <w:rPr>
          <w:spacing w:val="-18"/>
        </w:rPr>
        <w:t>全管理人员、专职(志愿)消防队队员应经消防培训合格，易燃易</w:t>
      </w:r>
      <w:r>
        <w:rPr>
          <w:spacing w:val="-11"/>
        </w:rPr>
        <w:t>爆危险品的作业人员、电焊气焊等动火作业人员应 当按规定接</w:t>
      </w:r>
      <w:r>
        <w:rPr>
          <w:spacing w:val="-12"/>
        </w:rPr>
        <w:t>受相关部门专门培训并持证上岗。</w:t>
      </w:r>
    </w:p>
    <w:p>
      <w:pPr>
        <w:pStyle w:val="Heading2"/>
        <w:spacing w:before="92"/>
        <w:ind w:left="1196"/>
        <w:jc w:val="both"/>
      </w:pPr>
      <w:r>
        <w:rPr/>
        <w:t>第五章 灭火、应急疏散预案和演练</w:t>
      </w:r>
    </w:p>
    <w:p>
      <w:pPr>
        <w:pStyle w:val="BodyText"/>
        <w:spacing w:line="328" w:lineRule="auto" w:before="226"/>
        <w:ind w:right="206" w:firstLine="456"/>
        <w:jc w:val="right"/>
      </w:pPr>
      <w:r>
        <w:rPr>
          <w:spacing w:val="-10"/>
        </w:rPr>
        <w:t>第二十二条 火灾高危单位应当结合当地消防力量分布、消</w:t>
      </w:r>
      <w:r>
        <w:rPr>
          <w:spacing w:val="-13"/>
        </w:rPr>
        <w:t>防基础设施现状和本单位实际情况，制定灭火和应急疏散预案。</w:t>
      </w:r>
      <w:r>
        <w:rPr>
          <w:spacing w:val="3"/>
        </w:rPr>
        <w:t>火灾高危单位的灭火和应急疏散预案应当根据本单位人</w:t>
      </w:r>
    </w:p>
    <w:p>
      <w:pPr>
        <w:pStyle w:val="BodyText"/>
        <w:spacing w:line="328" w:lineRule="auto"/>
        <w:ind w:right="230"/>
      </w:pPr>
      <w:r>
        <w:rPr>
          <w:spacing w:val="-19"/>
        </w:rPr>
        <w:t>员、消防设施设备及其他相关条件的变化及时进行修订，修订后</w:t>
      </w:r>
      <w:r>
        <w:rPr>
          <w:spacing w:val="-12"/>
        </w:rPr>
        <w:t>应及时报当地公安机关消防机构备案。</w:t>
      </w:r>
    </w:p>
    <w:p>
      <w:pPr>
        <w:pStyle w:val="BodyText"/>
        <w:spacing w:line="328" w:lineRule="auto"/>
        <w:ind w:right="229" w:firstLine="456"/>
        <w:jc w:val="both"/>
      </w:pPr>
      <w:r>
        <w:rPr>
          <w:spacing w:val="-10"/>
        </w:rPr>
        <w:t>第二十三条 火灾高危单位应当至少每半年组织一次灭火和</w:t>
      </w:r>
      <w:r>
        <w:rPr>
          <w:spacing w:val="-17"/>
        </w:rPr>
        <w:t>应急疏散预案演练。消防演练时，应当设置明显标识并预先告知演练范围内的人员。</w:t>
      </w:r>
    </w:p>
    <w:p>
      <w:pPr>
        <w:pStyle w:val="BodyText"/>
        <w:spacing w:line="328" w:lineRule="auto"/>
        <w:ind w:right="229" w:firstLine="456"/>
        <w:jc w:val="both"/>
      </w:pPr>
      <w:r>
        <w:rPr>
          <w:spacing w:val="-10"/>
        </w:rPr>
        <w:t>第二十四条 火灾高危单位应当积极参与辖区公安机关消防</w:t>
      </w:r>
      <w:r>
        <w:rPr>
          <w:spacing w:val="-12"/>
        </w:rPr>
        <w:t>机构组织的灭火救援实战演练。</w:t>
      </w:r>
    </w:p>
    <w:p>
      <w:pPr>
        <w:pStyle w:val="Heading2"/>
        <w:spacing w:before="85"/>
        <w:ind w:left="1969"/>
        <w:jc w:val="both"/>
      </w:pPr>
      <w:r>
        <w:rPr/>
        <w:t>第六章 消防安全评估</w:t>
      </w:r>
    </w:p>
    <w:p>
      <w:pPr>
        <w:pStyle w:val="BodyText"/>
        <w:spacing w:line="328" w:lineRule="auto" w:before="224"/>
        <w:ind w:right="227" w:firstLine="456"/>
        <w:jc w:val="both"/>
      </w:pPr>
      <w:r>
        <w:rPr>
          <w:spacing w:val="-10"/>
        </w:rPr>
        <w:t>第二十五条 火灾高危单位应当委托有资质的消防技术服务</w:t>
      </w:r>
      <w:r>
        <w:rPr>
          <w:spacing w:val="-15"/>
        </w:rPr>
        <w:t>机构每年开展一次消防安全评估，并将评估报告报辖区公安机关</w:t>
      </w:r>
      <w:r>
        <w:rPr>
          <w:spacing w:val="-19"/>
        </w:rPr>
        <w:t>消防机构备案。辖区公安机关消防机构应当根据评估结论对火灾</w:t>
      </w:r>
      <w:r>
        <w:rPr>
          <w:spacing w:val="-5"/>
        </w:rPr>
        <w:t>高危单位实行预警动态监管，督促其及时整改消防安全违法行</w:t>
      </w:r>
      <w:r>
        <w:rPr>
          <w:spacing w:val="-12"/>
        </w:rPr>
        <w:t>为，消除火灾隐患，及时通报有关部门并向社会公布。</w:t>
      </w:r>
    </w:p>
    <w:p>
      <w:pPr>
        <w:spacing w:after="0" w:line="328" w:lineRule="auto"/>
        <w:jc w:val="both"/>
        <w:sectPr>
          <w:pgSz w:w="8400" w:h="11910"/>
          <w:pgMar w:header="0" w:footer="870" w:top="1100" w:bottom="1060" w:left="820" w:right="780"/>
        </w:sectPr>
      </w:pPr>
    </w:p>
    <w:p>
      <w:pPr>
        <w:pStyle w:val="BodyText"/>
        <w:spacing w:line="328" w:lineRule="auto" w:before="144"/>
        <w:ind w:right="229" w:firstLine="456"/>
        <w:jc w:val="both"/>
      </w:pPr>
      <w:r>
        <w:rPr>
          <w:spacing w:val="-10"/>
        </w:rPr>
        <w:t>第二十六条 消防安全评估结论应当作为火灾高危单位信用</w:t>
      </w:r>
      <w:r>
        <w:rPr>
          <w:spacing w:val="-17"/>
        </w:rPr>
        <w:t>评级的重要依据。单位投保火灾公众责任保险时，保险公司应当</w:t>
      </w:r>
      <w:r>
        <w:rPr>
          <w:spacing w:val="-12"/>
        </w:rPr>
        <w:t>将其消防安全评估结论作为确定保险费率的重要依据。</w:t>
      </w:r>
    </w:p>
    <w:p>
      <w:pPr>
        <w:pStyle w:val="Heading2"/>
        <w:spacing w:before="93"/>
        <w:ind w:left="2531"/>
        <w:jc w:val="both"/>
      </w:pPr>
      <w:r>
        <w:rPr/>
        <w:t>第七章 奖惩</w:t>
      </w:r>
    </w:p>
    <w:p>
      <w:pPr>
        <w:pStyle w:val="BodyText"/>
        <w:spacing w:line="328" w:lineRule="auto" w:before="226"/>
        <w:ind w:right="229" w:firstLine="456"/>
        <w:jc w:val="both"/>
      </w:pPr>
      <w:r>
        <w:rPr>
          <w:spacing w:val="-10"/>
        </w:rPr>
        <w:t>第二十七条 火灾高危单位应当建立奖惩制度，并将消防安</w:t>
      </w:r>
      <w:r>
        <w:rPr>
          <w:spacing w:val="-17"/>
        </w:rPr>
        <w:t>全工作纳入内部检查、考核、评比内容，表彰消防安全管理工作</w:t>
      </w:r>
      <w:r>
        <w:rPr>
          <w:spacing w:val="-20"/>
        </w:rPr>
        <w:t>中成绩突出的部门和个人。对未履行消防安全职责或者违反单位消防安全管理制度的行为，对相关人员进行责任追宄。</w:t>
      </w:r>
    </w:p>
    <w:p>
      <w:pPr>
        <w:pStyle w:val="BodyText"/>
        <w:spacing w:line="328" w:lineRule="auto"/>
        <w:ind w:right="229" w:firstLine="456"/>
        <w:jc w:val="both"/>
      </w:pPr>
      <w:r>
        <w:rPr>
          <w:spacing w:val="-10"/>
        </w:rPr>
        <w:t>第二十八条 违反本规定的行为，依照有关消防法律法规规</w:t>
      </w:r>
      <w:r>
        <w:rPr>
          <w:spacing w:val="-12"/>
        </w:rPr>
        <w:t>定实施处罚。</w:t>
      </w:r>
    </w:p>
    <w:p>
      <w:pPr>
        <w:pStyle w:val="Heading2"/>
        <w:spacing w:before="90"/>
        <w:ind w:left="2603"/>
        <w:jc w:val="both"/>
      </w:pPr>
      <w:r>
        <w:rPr/>
        <w:t>第八章 附则</w:t>
      </w:r>
    </w:p>
    <w:p>
      <w:pPr>
        <w:pStyle w:val="BodyText"/>
        <w:spacing w:line="328" w:lineRule="auto" w:before="224"/>
        <w:ind w:right="229" w:firstLine="456"/>
        <w:jc w:val="both"/>
      </w:pPr>
      <w:r>
        <w:rPr>
          <w:spacing w:val="-10"/>
        </w:rPr>
        <w:t>第二十九条 公安机关消防机构对本规定的执行情况依法实</w:t>
      </w:r>
      <w:r>
        <w:rPr>
          <w:spacing w:val="-12"/>
        </w:rPr>
        <w:t>施监督。</w:t>
      </w:r>
    </w:p>
    <w:p>
      <w:pPr>
        <w:pStyle w:val="BodyText"/>
        <w:spacing w:line="328" w:lineRule="auto"/>
        <w:ind w:left="656" w:right="2377"/>
      </w:pPr>
      <w:r>
        <w:rPr>
          <w:spacing w:val="-13"/>
        </w:rPr>
        <w:t>第三十条 本规定自发布之日起施行。</w:t>
      </w:r>
      <w:r>
        <w:rPr>
          <w:spacing w:val="-12"/>
        </w:rPr>
        <w:t>附件：湖南省火灾高危单位界定标准</w:t>
      </w:r>
    </w:p>
    <w:p>
      <w:pPr>
        <w:spacing w:after="0" w:line="328" w:lineRule="auto"/>
        <w:sectPr>
          <w:pgSz w:w="8400" w:h="11910"/>
          <w:pgMar w:header="0" w:footer="870" w:top="1100" w:bottom="1060" w:left="820" w:right="780"/>
        </w:sectPr>
      </w:pPr>
    </w:p>
    <w:p>
      <w:pPr>
        <w:pStyle w:val="BodyText"/>
        <w:spacing w:before="127"/>
      </w:pPr>
      <w:r>
        <w:rPr/>
        <w:t>附件：</w:t>
      </w:r>
    </w:p>
    <w:p>
      <w:pPr>
        <w:pStyle w:val="BodyText"/>
        <w:ind w:left="0"/>
        <w:rPr>
          <w:sz w:val="28"/>
        </w:rPr>
      </w:pPr>
      <w:r>
        <w:rPr/>
        <w:br w:type="column"/>
      </w:r>
      <w:r>
        <w:rPr>
          <w:sz w:val="28"/>
        </w:rPr>
      </w:r>
    </w:p>
    <w:p>
      <w:pPr>
        <w:pStyle w:val="BodyText"/>
        <w:spacing w:before="1"/>
        <w:ind w:left="0"/>
        <w:rPr>
          <w:sz w:val="22"/>
        </w:rPr>
      </w:pPr>
    </w:p>
    <w:p>
      <w:pPr>
        <w:pStyle w:val="Heading2"/>
        <w:ind w:left="200"/>
        <w:jc w:val="left"/>
      </w:pPr>
      <w:r>
        <w:rPr/>
        <w:t>湖南省火灾高危单位界定标准</w:t>
      </w:r>
    </w:p>
    <w:p>
      <w:pPr>
        <w:spacing w:after="0"/>
        <w:jc w:val="left"/>
        <w:sectPr>
          <w:pgSz w:w="8400" w:h="11910"/>
          <w:pgMar w:header="0" w:footer="870" w:top="1100" w:bottom="1060" w:left="820" w:right="780"/>
          <w:cols w:num="2" w:equalWidth="0">
            <w:col w:w="923" w:space="424"/>
            <w:col w:w="5453"/>
          </w:cols>
        </w:sectPr>
      </w:pPr>
    </w:p>
    <w:p>
      <w:pPr>
        <w:pStyle w:val="BodyText"/>
        <w:ind w:left="0"/>
        <w:rPr>
          <w:b/>
          <w:sz w:val="20"/>
        </w:rPr>
      </w:pPr>
    </w:p>
    <w:p>
      <w:pPr>
        <w:pStyle w:val="BodyText"/>
        <w:spacing w:before="3"/>
        <w:ind w:left="0"/>
        <w:rPr>
          <w:b/>
          <w:sz w:val="22"/>
        </w:rPr>
      </w:pPr>
    </w:p>
    <w:p>
      <w:pPr>
        <w:pStyle w:val="BodyText"/>
        <w:spacing w:before="67"/>
        <w:ind w:left="680"/>
      </w:pPr>
      <w:r>
        <w:rPr/>
        <w:t>一、具有较大规模的人员密集场所</w:t>
      </w:r>
    </w:p>
    <w:p>
      <w:pPr>
        <w:pStyle w:val="BodyText"/>
        <w:spacing w:line="312" w:lineRule="auto" w:before="93"/>
        <w:ind w:right="238" w:firstLine="480"/>
      </w:pPr>
      <w:r>
        <w:rPr/>
        <w:t>(一)建筑总面积 20000 平方米以上(含本数，下同)的体育场馆、会堂，公共展览馆、博物馆的展示厅。</w:t>
      </w:r>
    </w:p>
    <w:p>
      <w:pPr>
        <w:pStyle w:val="BodyText"/>
        <w:spacing w:line="312" w:lineRule="auto"/>
        <w:ind w:right="239" w:firstLine="480"/>
      </w:pPr>
      <w:r>
        <w:rPr/>
        <w:t>(二)建筑总面积 15000 平方米以上的民用机场航站楼、客运车站候车室、客运码头候船厅。</w:t>
      </w:r>
    </w:p>
    <w:p>
      <w:pPr>
        <w:pStyle w:val="BodyText"/>
        <w:spacing w:line="312" w:lineRule="auto"/>
        <w:ind w:right="182" w:firstLine="480"/>
      </w:pPr>
      <w:r>
        <w:rPr>
          <w:spacing w:val="-7"/>
        </w:rPr>
        <w:t>(三)建筑总面积 </w:t>
      </w:r>
      <w:r>
        <w:rPr/>
        <w:t>10000</w:t>
      </w:r>
      <w:r>
        <w:rPr>
          <w:spacing w:val="-13"/>
        </w:rPr>
        <w:t> 平方米以上的宾馆、饭店、商场、</w:t>
      </w:r>
      <w:r>
        <w:rPr/>
        <w:t>市场。</w:t>
      </w:r>
    </w:p>
    <w:p>
      <w:pPr>
        <w:pStyle w:val="BodyText"/>
        <w:spacing w:line="312" w:lineRule="auto" w:before="2"/>
        <w:ind w:right="229" w:firstLine="480"/>
      </w:pPr>
      <w:r>
        <w:rPr>
          <w:spacing w:val="-7"/>
        </w:rPr>
        <w:t>(四)建筑总面积 </w:t>
      </w:r>
      <w:r>
        <w:rPr/>
        <w:t>2500</w:t>
      </w:r>
      <w:r>
        <w:rPr>
          <w:spacing w:val="-9"/>
        </w:rPr>
        <w:t> 平方米以上的歌舞、娱乐、游艺、</w:t>
      </w:r>
      <w:r>
        <w:rPr/>
        <w:t>放映场所。</w:t>
      </w:r>
    </w:p>
    <w:p>
      <w:pPr>
        <w:pStyle w:val="BodyText"/>
        <w:spacing w:line="307" w:lineRule="exact"/>
        <w:ind w:left="680"/>
      </w:pPr>
      <w:r>
        <w:rPr/>
        <w:t>(五)三级甲等医院。</w:t>
      </w:r>
    </w:p>
    <w:p>
      <w:pPr>
        <w:pStyle w:val="BodyText"/>
        <w:spacing w:line="312" w:lineRule="auto" w:before="94"/>
        <w:ind w:left="680" w:right="1849"/>
      </w:pPr>
      <w:r>
        <w:rPr/>
        <w:t>(六)200</w:t>
      </w:r>
      <w:r>
        <w:rPr>
          <w:spacing w:val="-9"/>
        </w:rPr>
        <w:t> 张以上床位的养老院、敬老院。</w:t>
      </w:r>
      <w:r>
        <w:rPr/>
        <w:t>(七)200</w:t>
      </w:r>
      <w:r>
        <w:rPr>
          <w:spacing w:val="-9"/>
        </w:rPr>
        <w:t> 张以上床位的托儿所、幼儿园。</w:t>
      </w:r>
    </w:p>
    <w:p>
      <w:pPr>
        <w:pStyle w:val="BodyText"/>
        <w:spacing w:line="312" w:lineRule="auto"/>
        <w:ind w:right="233" w:firstLine="480"/>
      </w:pPr>
      <w:r>
        <w:rPr/>
        <w:t>二、具有一定规模的生产、储存、经营易燃易爆危险品的场所和单位</w:t>
      </w:r>
    </w:p>
    <w:p>
      <w:pPr>
        <w:pStyle w:val="BodyText"/>
        <w:spacing w:line="307" w:lineRule="exact"/>
        <w:ind w:left="680"/>
      </w:pPr>
      <w:r>
        <w:rPr>
          <w:spacing w:val="-4"/>
        </w:rPr>
        <w:t>(一)单座容积超过 </w:t>
      </w:r>
      <w:r>
        <w:rPr/>
        <w:t>1000</w:t>
      </w:r>
      <w:r>
        <w:rPr>
          <w:spacing w:val="-9"/>
        </w:rPr>
        <w:t> 立方米或者总容积超过 </w:t>
      </w:r>
      <w:r>
        <w:rPr/>
        <w:t>5000</w:t>
      </w:r>
      <w:r>
        <w:rPr>
          <w:spacing w:val="-17"/>
        </w:rPr>
        <w:t> 立</w:t>
      </w:r>
    </w:p>
    <w:p>
      <w:pPr>
        <w:pStyle w:val="BodyText"/>
        <w:spacing w:before="93"/>
      </w:pPr>
      <w:r>
        <w:rPr>
          <w:spacing w:val="-1"/>
        </w:rPr>
        <w:t>方米的甲、乙类液体储罐；单座容积超过 </w:t>
      </w:r>
      <w:r>
        <w:rPr/>
        <w:t>400</w:t>
      </w:r>
      <w:r>
        <w:rPr>
          <w:spacing w:val="-2"/>
        </w:rPr>
        <w:t> 立方米或者总</w:t>
      </w:r>
    </w:p>
    <w:p>
      <w:pPr>
        <w:pStyle w:val="BodyText"/>
        <w:spacing w:before="94"/>
      </w:pPr>
      <w:r>
        <w:rPr/>
        <w:t>容积超过 1000 立方米的液化烃和液化石油气储罐。</w:t>
      </w:r>
    </w:p>
    <w:p>
      <w:pPr>
        <w:pStyle w:val="BodyText"/>
        <w:spacing w:before="90"/>
        <w:ind w:left="680"/>
      </w:pPr>
      <w:r>
        <w:rPr/>
        <w:t>(二)建筑总面积超过 2000 平方米的甲类厂房或建筑总面</w:t>
      </w:r>
    </w:p>
    <w:p>
      <w:pPr>
        <w:pStyle w:val="BodyText"/>
        <w:spacing w:before="94"/>
      </w:pPr>
      <w:r>
        <w:rPr/>
        <w:t>积超过 3000 平方米的乙类厂房。</w:t>
      </w:r>
    </w:p>
    <w:p>
      <w:pPr>
        <w:pStyle w:val="BodyText"/>
        <w:spacing w:before="93"/>
        <w:ind w:left="680"/>
      </w:pPr>
      <w:r>
        <w:rPr/>
        <w:t>(三)工艺装置占地面积超过 5000 平方米的石化单位。</w:t>
      </w:r>
    </w:p>
    <w:p>
      <w:pPr>
        <w:spacing w:after="0"/>
        <w:sectPr>
          <w:type w:val="continuous"/>
          <w:pgSz w:w="8400" w:h="11910"/>
          <w:pgMar w:top="1100" w:bottom="280" w:left="820" w:right="780"/>
        </w:sectPr>
      </w:pPr>
    </w:p>
    <w:p>
      <w:pPr>
        <w:pStyle w:val="BodyText"/>
        <w:spacing w:before="127"/>
        <w:ind w:left="680"/>
      </w:pPr>
      <w:r>
        <w:rPr/>
        <w:t>(四)建筑总面积超过 500 平方米的甲类物品仓库和建筑</w:t>
      </w:r>
    </w:p>
    <w:p>
      <w:pPr>
        <w:pStyle w:val="BodyText"/>
        <w:spacing w:before="94"/>
      </w:pPr>
      <w:r>
        <w:rPr/>
        <w:t>总面积超过 1000 平方米的乙类物品仓库。</w:t>
      </w:r>
    </w:p>
    <w:p>
      <w:pPr>
        <w:pStyle w:val="BodyText"/>
        <w:spacing w:line="312" w:lineRule="auto" w:before="93"/>
        <w:ind w:right="235" w:firstLine="480"/>
      </w:pPr>
      <w:r>
        <w:rPr/>
        <w:t>三、火灾荷载大、人员较密集的高层、地下公共建筑以及地下交通工程</w:t>
      </w:r>
    </w:p>
    <w:p>
      <w:pPr>
        <w:pStyle w:val="BodyText"/>
        <w:spacing w:line="307" w:lineRule="exact"/>
        <w:ind w:left="680"/>
      </w:pPr>
      <w:r>
        <w:rPr/>
        <w:t>(一)属于一类高层建筑的下列场所：</w:t>
      </w:r>
    </w:p>
    <w:p>
      <w:pPr>
        <w:pStyle w:val="BodyText"/>
        <w:spacing w:line="312" w:lineRule="auto" w:before="93"/>
        <w:ind w:right="239" w:firstLine="480"/>
      </w:pPr>
      <w:r>
        <w:rPr/>
        <w:t>1、建筑高度超过 50 米的电信楼、财贸金融楼、广播电视楼、电力调度楼、邮政楼、防灾指挥调度楼；</w:t>
      </w:r>
    </w:p>
    <w:p>
      <w:pPr>
        <w:pStyle w:val="BodyText"/>
        <w:spacing w:line="312" w:lineRule="auto"/>
        <w:ind w:right="239" w:firstLine="480"/>
      </w:pPr>
      <w:r>
        <w:rPr/>
        <w:t>2、建筑高度超过 50 米的重要的办公楼、科研楼、档案楼；</w:t>
      </w:r>
    </w:p>
    <w:p>
      <w:pPr>
        <w:pStyle w:val="BodyText"/>
        <w:spacing w:line="307" w:lineRule="exact"/>
        <w:ind w:left="680"/>
      </w:pPr>
      <w:r>
        <w:rPr/>
        <w:t>3、藏书超过 100 万册的图书馆、书库；</w:t>
      </w:r>
    </w:p>
    <w:p>
      <w:pPr>
        <w:pStyle w:val="BodyText"/>
        <w:spacing w:line="312" w:lineRule="auto" w:before="94"/>
        <w:ind w:left="680" w:right="1550"/>
      </w:pPr>
      <w:r>
        <w:rPr/>
        <w:t>4</w:t>
      </w:r>
      <w:r>
        <w:rPr>
          <w:spacing w:val="-10"/>
        </w:rPr>
        <w:t>、建筑高度 </w:t>
      </w:r>
      <w:r>
        <w:rPr/>
        <w:t>100</w:t>
      </w:r>
      <w:r>
        <w:rPr>
          <w:spacing w:val="-8"/>
        </w:rPr>
        <w:t> 米以上的其他公共建筑。(</w:t>
      </w:r>
      <w:r>
        <w:rPr>
          <w:spacing w:val="-9"/>
        </w:rPr>
        <w:t>二)地下公共建筑以及城市地下轨道交通。</w:t>
      </w:r>
    </w:p>
    <w:p>
      <w:pPr>
        <w:pStyle w:val="BodyText"/>
        <w:tabs>
          <w:tab w:pos="1460" w:val="left" w:leader="none"/>
        </w:tabs>
        <w:spacing w:line="312" w:lineRule="auto"/>
        <w:ind w:right="239" w:firstLine="480"/>
      </w:pPr>
      <w:r>
        <w:rPr/>
        <w:t>四、</w:t>
        <w:tab/>
        <w:t>采用木结构或砖木结构的省级及以上建筑物类重点文物保护单位。</w:t>
      </w:r>
    </w:p>
    <w:p>
      <w:pPr>
        <w:pStyle w:val="BodyText"/>
        <w:tabs>
          <w:tab w:pos="1460" w:val="left" w:leader="none"/>
        </w:tabs>
        <w:spacing w:line="312" w:lineRule="auto" w:before="2"/>
        <w:ind w:right="239" w:firstLine="480"/>
      </w:pPr>
      <w:r>
        <w:rPr/>
        <w:t>五、</w:t>
        <w:tab/>
        <w:t>其他容易发生火灾且一旦发生火灾可能造成重大人员伤亡或者财产损失的单位：</w:t>
      </w:r>
    </w:p>
    <w:p>
      <w:pPr>
        <w:pStyle w:val="BodyText"/>
        <w:spacing w:line="312" w:lineRule="auto"/>
        <w:ind w:right="178" w:firstLine="480"/>
        <w:jc w:val="right"/>
      </w:pPr>
      <w:r>
        <w:rPr>
          <w:spacing w:val="-1"/>
        </w:rPr>
        <w:t>(一)装机容量 </w:t>
      </w:r>
      <w:r>
        <w:rPr/>
        <w:t>250MW</w:t>
      </w:r>
      <w:r>
        <w:rPr>
          <w:spacing w:val="-2"/>
        </w:rPr>
        <w:t> 以上(大中容量发电厂以上)的火力</w:t>
      </w:r>
      <w:r>
        <w:rPr>
          <w:spacing w:val="-9"/>
        </w:rPr>
        <w:t>发电厂和装机容量 </w:t>
      </w:r>
      <w:r>
        <w:rPr/>
        <w:t>300MW</w:t>
      </w:r>
      <w:r>
        <w:rPr>
          <w:spacing w:val="-23"/>
        </w:rPr>
        <w:t> 以上(大 </w:t>
      </w:r>
      <w:r>
        <w:rPr/>
        <w:t>2</w:t>
      </w:r>
      <w:r>
        <w:rPr>
          <w:spacing w:val="-15"/>
        </w:rPr>
        <w:t> 型以上)的水利水电枢纽。</w:t>
      </w:r>
      <w:r>
        <w:rPr/>
        <w:t> </w:t>
      </w:r>
      <w:r>
        <w:rPr>
          <w:spacing w:val="-5"/>
        </w:rPr>
        <w:t>(二)总储量 </w:t>
      </w:r>
      <w:r>
        <w:rPr/>
        <w:t>50000</w:t>
      </w:r>
      <w:r>
        <w:rPr>
          <w:spacing w:val="-12"/>
        </w:rPr>
        <w:t> 吨以上或 </w:t>
      </w:r>
      <w:r>
        <w:rPr/>
        <w:t>50000</w:t>
      </w:r>
      <w:r>
        <w:rPr>
          <w:spacing w:val="-6"/>
        </w:rPr>
        <w:t> 立方米以上的储备粮</w:t>
      </w:r>
    </w:p>
    <w:p>
      <w:pPr>
        <w:pStyle w:val="BodyText"/>
        <w:spacing w:line="314" w:lineRule="auto"/>
        <w:ind w:right="235"/>
      </w:pPr>
      <w:r>
        <w:rPr/>
        <w:t>食、棉花、药品、木材、造纸原料等可燃重要物资的大型仓库、堆场、基地。</w:t>
      </w:r>
    </w:p>
    <w:p>
      <w:pPr>
        <w:pStyle w:val="BodyText"/>
        <w:spacing w:line="312" w:lineRule="auto"/>
        <w:ind w:left="680" w:right="179"/>
      </w:pPr>
      <w:r>
        <w:rPr>
          <w:spacing w:val="-6"/>
        </w:rPr>
        <w:t>(三)具有火灾危险性的大型劳动密集型生产、加工企业。</w:t>
      </w:r>
      <w:r>
        <w:rPr>
          <w:spacing w:val="-8"/>
        </w:rPr>
        <w:t>(四)长度超过 </w:t>
      </w:r>
      <w:r>
        <w:rPr/>
        <w:t>3</w:t>
      </w:r>
      <w:r>
        <w:rPr>
          <w:spacing w:val="-8"/>
        </w:rPr>
        <w:t> 千米的特长公路隧道。</w:t>
      </w:r>
    </w:p>
    <w:p>
      <w:pPr>
        <w:spacing w:after="0" w:line="312" w:lineRule="auto"/>
        <w:sectPr>
          <w:pgSz w:w="8400" w:h="11910"/>
          <w:pgMar w:header="0" w:footer="870" w:top="1100" w:bottom="1060" w:left="820" w:right="780"/>
        </w:sectPr>
      </w:pPr>
    </w:p>
    <w:p>
      <w:pPr>
        <w:pStyle w:val="Heading3"/>
        <w:spacing w:before="127"/>
        <w:ind w:left="200"/>
        <w:rPr>
          <w:rFonts w:ascii="仿宋" w:eastAsia="仿宋" w:hint="eastAsia"/>
        </w:rPr>
      </w:pPr>
      <w:bookmarkStart w:name="_bookmark32" w:id="33"/>
      <w:bookmarkEnd w:id="33"/>
      <w:r>
        <w:rPr>
          <w:b w:val="0"/>
        </w:rPr>
      </w:r>
      <w:r>
        <w:rPr>
          <w:rFonts w:ascii="仿宋" w:eastAsia="仿宋" w:hint="eastAsia"/>
        </w:rPr>
        <w:t>附件十：消防安全重点单位微型消防站建设标准</w:t>
      </w:r>
    </w:p>
    <w:p>
      <w:pPr>
        <w:pStyle w:val="BodyText"/>
        <w:ind w:left="0"/>
        <w:rPr>
          <w:b/>
        </w:rPr>
      </w:pPr>
    </w:p>
    <w:p>
      <w:pPr>
        <w:pStyle w:val="BodyText"/>
        <w:spacing w:before="6"/>
        <w:ind w:left="0"/>
        <w:rPr>
          <w:b/>
          <w:sz w:val="23"/>
        </w:rPr>
      </w:pPr>
    </w:p>
    <w:p>
      <w:pPr>
        <w:spacing w:line="374" w:lineRule="auto" w:before="0"/>
        <w:ind w:left="2392" w:right="1588" w:hanging="845"/>
        <w:jc w:val="left"/>
        <w:rPr>
          <w:b/>
          <w:sz w:val="28"/>
        </w:rPr>
      </w:pPr>
      <w:r>
        <w:rPr>
          <w:b/>
          <w:sz w:val="28"/>
        </w:rPr>
        <w:t>消防安全重点单位微型消防站建设标准(试行)</w:t>
      </w:r>
    </w:p>
    <w:p>
      <w:pPr>
        <w:pStyle w:val="BodyText"/>
        <w:spacing w:before="9"/>
        <w:ind w:left="0"/>
        <w:rPr>
          <w:b/>
          <w:sz w:val="31"/>
        </w:rPr>
      </w:pPr>
    </w:p>
    <w:p>
      <w:pPr>
        <w:pStyle w:val="BodyText"/>
        <w:spacing w:line="312" w:lineRule="auto"/>
        <w:ind w:right="218" w:firstLine="448"/>
        <w:jc w:val="both"/>
      </w:pPr>
      <w:r>
        <w:rPr>
          <w:spacing w:val="-15"/>
        </w:rPr>
        <w:t>为积极引导和规范消防安全重点单位(简称“重点单位”)志愿消防队伍建设，推动落实单位主体责任，着力提高重点单位自查自纠、自防自救的能力，建设“有人员、有器材、有战斗力” 的重点单位微型消防站，实现有效处置初起火灾的目标，特制定</w:t>
      </w:r>
      <w:r>
        <w:rPr>
          <w:spacing w:val="-13"/>
        </w:rPr>
        <w:t>本标准。</w:t>
      </w:r>
    </w:p>
    <w:p>
      <w:pPr>
        <w:pStyle w:val="BodyText"/>
        <w:spacing w:before="1"/>
        <w:ind w:left="680"/>
      </w:pPr>
      <w:r>
        <w:rPr/>
        <w:t>一、建设原则</w:t>
      </w:r>
    </w:p>
    <w:p>
      <w:pPr>
        <w:pStyle w:val="BodyText"/>
        <w:spacing w:line="312" w:lineRule="auto" w:before="93"/>
        <w:ind w:right="235" w:firstLine="480"/>
        <w:jc w:val="both"/>
      </w:pPr>
      <w:r>
        <w:rPr>
          <w:spacing w:val="4"/>
        </w:rPr>
        <w:t>除按照消防法规须建立专职消防队的重点单位外，其他</w:t>
      </w:r>
      <w:r>
        <w:rPr>
          <w:spacing w:val="-6"/>
        </w:rPr>
        <w:t>设有消防控制室的重点单位，以救早、灭小和“</w:t>
      </w:r>
      <w:r>
        <w:rPr/>
        <w:t>3</w:t>
      </w:r>
      <w:r>
        <w:rPr>
          <w:spacing w:val="-13"/>
        </w:rPr>
        <w:t> 分钟到场” </w:t>
      </w:r>
      <w:r>
        <w:rPr/>
        <w:t>扑救初起火灾为目标，依托单位志愿消防队伍，配备必要的消防器材，建立重点单位微型消防站，积极开展防火巡查和</w:t>
      </w:r>
      <w:r>
        <w:rPr>
          <w:spacing w:val="13"/>
        </w:rPr>
        <w:t>初起火灾扑救等火灾防控工作。合用消防控制室的重点单位，可联合建立微型消防站。</w:t>
      </w:r>
    </w:p>
    <w:p>
      <w:pPr>
        <w:pStyle w:val="BodyText"/>
        <w:spacing w:before="2"/>
        <w:ind w:left="680"/>
      </w:pPr>
      <w:r>
        <w:rPr/>
        <w:t>二、人员配备</w:t>
      </w:r>
    </w:p>
    <w:p>
      <w:pPr>
        <w:pStyle w:val="BodyText"/>
        <w:spacing w:before="93"/>
        <w:ind w:left="680"/>
      </w:pPr>
      <w:r>
        <w:rPr/>
        <w:t>(一)微型消防站人员配备不少于 6 人。</w:t>
      </w:r>
    </w:p>
    <w:p>
      <w:pPr>
        <w:pStyle w:val="BodyText"/>
        <w:spacing w:line="312" w:lineRule="auto" w:before="92"/>
        <w:ind w:right="235" w:firstLine="480"/>
      </w:pPr>
      <w:r>
        <w:rPr/>
        <w:t>(二)微型消防站应设站长、副站长、消防员、控制室值班员等岗位，配有消防车辆的微型消防站应设驾驶员岗位。</w:t>
      </w:r>
    </w:p>
    <w:p>
      <w:pPr>
        <w:pStyle w:val="BodyText"/>
        <w:spacing w:line="312" w:lineRule="auto" w:before="2"/>
        <w:ind w:right="235" w:firstLine="480"/>
      </w:pPr>
      <w:r>
        <w:rPr/>
        <w:t>(三)站长应由单位消防安全管理人兼任，消防员负责防火巡查和初起火灾扑救工作。</w:t>
      </w:r>
    </w:p>
    <w:p>
      <w:pPr>
        <w:spacing w:after="0" w:line="312" w:lineRule="auto"/>
        <w:sectPr>
          <w:pgSz w:w="8400" w:h="11910"/>
          <w:pgMar w:header="0" w:footer="870" w:top="1100" w:bottom="1060" w:left="820" w:right="780"/>
        </w:sectPr>
      </w:pPr>
    </w:p>
    <w:p>
      <w:pPr>
        <w:pStyle w:val="BodyText"/>
        <w:spacing w:line="312" w:lineRule="auto" w:before="127"/>
        <w:ind w:right="223" w:firstLine="448"/>
      </w:pPr>
      <w:r>
        <w:rPr>
          <w:spacing w:val="-15"/>
        </w:rPr>
        <w:t>(四)微型消防站人员应当接受岗前培训；培训内容包括扑救</w:t>
      </w:r>
      <w:r>
        <w:rPr>
          <w:spacing w:val="-17"/>
        </w:rPr>
        <w:t>初起火灾业务技能、防火巡查基本知识等。</w:t>
      </w:r>
    </w:p>
    <w:p>
      <w:pPr>
        <w:pStyle w:val="BodyText"/>
        <w:spacing w:before="2"/>
        <w:ind w:left="680"/>
      </w:pPr>
      <w:r>
        <w:rPr/>
        <w:t>三、站房器材</w:t>
      </w:r>
    </w:p>
    <w:p>
      <w:pPr>
        <w:pStyle w:val="BodyText"/>
        <w:spacing w:line="312" w:lineRule="auto" w:before="91"/>
        <w:ind w:right="235" w:firstLine="480"/>
      </w:pPr>
      <w:r>
        <w:rPr/>
        <w:t>(一)微型消防站应设置人员值守、器材存放等用房，可与消防控制室合用；有条件的，可单独设置。</w:t>
      </w:r>
    </w:p>
    <w:p>
      <w:pPr>
        <w:pStyle w:val="BodyText"/>
        <w:spacing w:line="312" w:lineRule="auto" w:before="2"/>
        <w:ind w:right="235" w:firstLine="480"/>
        <w:jc w:val="both"/>
      </w:pPr>
      <w:r>
        <w:rPr/>
        <w:t>(二)微型消防站应根据扑救初起火灾需要，配备一定数量的灭火器、水枪、水带等灭火器材；配置外线电话、手持对讲机等通信器材；消防头盔、灭火防护服、防护靴、简单的破拆工具等器材。</w:t>
      </w:r>
    </w:p>
    <w:p>
      <w:pPr>
        <w:pStyle w:val="BodyText"/>
        <w:spacing w:line="312" w:lineRule="auto"/>
        <w:ind w:right="110" w:firstLine="480"/>
      </w:pPr>
      <w:r>
        <w:rPr/>
        <w:t>(三)微型消防站应在建筑物内部和避难层设置消防器材存放点，可根据需要在建筑之间分区域设置消防器材存放点。</w:t>
      </w:r>
    </w:p>
    <w:p>
      <w:pPr>
        <w:pStyle w:val="BodyText"/>
        <w:spacing w:line="312" w:lineRule="auto" w:before="2"/>
        <w:ind w:left="680" w:right="590"/>
      </w:pPr>
      <w:r>
        <w:rPr/>
        <w:t>(四)有条件的微型消防站可根据实际选配消防车辆。四、岗位职责</w:t>
      </w:r>
    </w:p>
    <w:p>
      <w:pPr>
        <w:pStyle w:val="BodyText"/>
        <w:spacing w:line="312" w:lineRule="auto"/>
        <w:ind w:right="235" w:firstLine="480"/>
        <w:jc w:val="both"/>
      </w:pPr>
      <w:r>
        <w:rPr/>
        <w:t>(一)站长负责微型消防站日常管理，组织制定各项管理制度和灭火应急预案，开展防火巡查、消防宣传教育和灭火训练；指挥初起火灾扑救和人员疏散。</w:t>
      </w:r>
    </w:p>
    <w:p>
      <w:pPr>
        <w:pStyle w:val="BodyText"/>
        <w:spacing w:line="312" w:lineRule="auto" w:before="1"/>
        <w:ind w:right="235" w:firstLine="480"/>
        <w:jc w:val="both"/>
      </w:pPr>
      <w:r>
        <w:rPr/>
        <w:t>(二)消防员负责扑救初起火灾；熟悉建筑消防设施情况和灭火应急预案，熟练掌握器材性能和操作使用方法，并落实器材维护保养；参加日常防火巡查和消防宣传教育。</w:t>
      </w:r>
    </w:p>
    <w:p>
      <w:pPr>
        <w:pStyle w:val="BodyText"/>
        <w:spacing w:line="314" w:lineRule="auto" w:before="1"/>
        <w:ind w:right="235" w:firstLine="480"/>
      </w:pPr>
      <w:r>
        <w:rPr/>
        <w:t>(三)控制室值班员应熟悉灭火应急处置程序，熟练掌握自动消防设施操作方法，接到火情信息后启动预案。</w:t>
      </w:r>
    </w:p>
    <w:p>
      <w:pPr>
        <w:pStyle w:val="BodyText"/>
        <w:spacing w:line="302" w:lineRule="exact"/>
        <w:ind w:left="680"/>
      </w:pPr>
      <w:r>
        <w:rPr/>
        <w:t>五、值守联动</w:t>
      </w:r>
    </w:p>
    <w:p>
      <w:pPr>
        <w:pStyle w:val="BodyText"/>
        <w:spacing w:line="312" w:lineRule="auto" w:before="93"/>
        <w:ind w:right="238" w:firstLine="480"/>
      </w:pPr>
      <w:r>
        <w:rPr>
          <w:spacing w:val="-5"/>
        </w:rPr>
        <w:t>(一)微型消防站应建立值守制度，确保值守人员 </w:t>
      </w:r>
      <w:r>
        <w:rPr/>
        <w:t>24</w:t>
      </w:r>
      <w:r>
        <w:rPr>
          <w:spacing w:val="-26"/>
        </w:rPr>
        <w:t> 小时</w:t>
      </w:r>
      <w:r>
        <w:rPr/>
        <w:t>在岗在位，做好应急准备。</w:t>
      </w:r>
    </w:p>
    <w:p>
      <w:pPr>
        <w:spacing w:after="0" w:line="312" w:lineRule="auto"/>
        <w:sectPr>
          <w:pgSz w:w="8400" w:h="11910"/>
          <w:pgMar w:header="0" w:footer="870" w:top="1100" w:bottom="1060" w:left="820" w:right="780"/>
        </w:sectPr>
      </w:pPr>
    </w:p>
    <w:p>
      <w:pPr>
        <w:pStyle w:val="BodyText"/>
        <w:spacing w:line="312" w:lineRule="auto" w:before="127"/>
        <w:ind w:right="235" w:firstLine="480"/>
        <w:jc w:val="both"/>
      </w:pPr>
      <w:r>
        <w:rPr>
          <w:spacing w:val="2"/>
        </w:rPr>
        <w:t>(二)接到火警信息后，控制室值班员应迅速核实火情， </w:t>
      </w:r>
      <w:r>
        <w:rPr>
          <w:spacing w:val="-9"/>
        </w:rPr>
        <w:t>启动灭火处置程序。消防员应按照“</w:t>
      </w:r>
      <w:r>
        <w:rPr/>
        <w:t>3</w:t>
      </w:r>
      <w:r>
        <w:rPr>
          <w:spacing w:val="-9"/>
        </w:rPr>
        <w:t> 分钟到场”要求赶赴现</w:t>
      </w:r>
      <w:r>
        <w:rPr/>
        <w:t>场处置。</w:t>
      </w:r>
    </w:p>
    <w:p>
      <w:pPr>
        <w:pStyle w:val="BodyText"/>
        <w:spacing w:line="312" w:lineRule="auto" w:before="1"/>
        <w:ind w:right="238" w:firstLine="480"/>
      </w:pPr>
      <w:r>
        <w:rPr/>
        <w:t>(三)微型消防站应纳入当地灭火救援联勤联动体系，参与周边区域灭火处置工作。</w:t>
      </w:r>
    </w:p>
    <w:p>
      <w:pPr>
        <w:pStyle w:val="BodyText"/>
        <w:spacing w:before="2"/>
        <w:ind w:left="680"/>
      </w:pPr>
      <w:r>
        <w:rPr/>
        <w:t>六、管理训练</w:t>
      </w:r>
    </w:p>
    <w:p>
      <w:pPr>
        <w:pStyle w:val="BodyText"/>
        <w:spacing w:line="314" w:lineRule="auto" w:before="91"/>
        <w:ind w:right="235" w:firstLine="480"/>
      </w:pPr>
      <w:r>
        <w:rPr/>
        <w:t>(一)重点单位是微型消防站的建设管理主体，重点单位微型消防站建成后，应向辖区公安消防部门备案。</w:t>
      </w:r>
    </w:p>
    <w:p>
      <w:pPr>
        <w:pStyle w:val="BodyText"/>
        <w:spacing w:line="312" w:lineRule="auto"/>
        <w:ind w:right="235" w:firstLine="480"/>
      </w:pPr>
      <w:r>
        <w:rPr/>
        <w:t>(二)微型消防站应制定并落实岗位培训、队伍管理、防火巡查、值守联动、考核评价等管理制度。</w:t>
      </w:r>
    </w:p>
    <w:p>
      <w:pPr>
        <w:pStyle w:val="BodyText"/>
        <w:spacing w:line="312" w:lineRule="auto"/>
        <w:ind w:right="235" w:firstLine="480"/>
        <w:jc w:val="both"/>
      </w:pPr>
      <w:r>
        <w:rPr/>
        <w:t>(三)微型消防站应组织开展日常业务训练，不断提高扑救初起火灾的能力。训练内容包括体能训练、灭火器材和个人防护器材的使用等。</w:t>
      </w:r>
    </w:p>
    <w:p>
      <w:pPr>
        <w:spacing w:after="0" w:line="312" w:lineRule="auto"/>
        <w:jc w:val="both"/>
        <w:sectPr>
          <w:pgSz w:w="8400" w:h="11910"/>
          <w:pgMar w:header="0" w:footer="870" w:top="1100" w:bottom="1060" w:left="820" w:right="780"/>
        </w:sectPr>
      </w:pPr>
    </w:p>
    <w:p>
      <w:pPr>
        <w:pStyle w:val="Heading3"/>
        <w:spacing w:before="127"/>
        <w:ind w:left="200"/>
        <w:rPr>
          <w:rFonts w:ascii="仿宋" w:eastAsia="仿宋" w:hint="eastAsia"/>
        </w:rPr>
      </w:pPr>
      <w:bookmarkStart w:name="_bookmark33" w:id="34"/>
      <w:bookmarkEnd w:id="34"/>
      <w:r>
        <w:rPr>
          <w:b w:val="0"/>
        </w:rPr>
      </w:r>
      <w:r>
        <w:rPr>
          <w:rFonts w:ascii="仿宋" w:eastAsia="仿宋" w:hint="eastAsia"/>
        </w:rPr>
        <w:t>附件十一：消防安全信息公示牌填写说明</w:t>
      </w:r>
    </w:p>
    <w:p>
      <w:pPr>
        <w:pStyle w:val="BodyText"/>
        <w:ind w:left="0"/>
        <w:rPr>
          <w:b/>
        </w:rPr>
      </w:pPr>
    </w:p>
    <w:p>
      <w:pPr>
        <w:pStyle w:val="BodyText"/>
        <w:spacing w:before="187"/>
        <w:ind w:left="680"/>
      </w:pPr>
      <w:r>
        <w:rPr/>
        <w:t>公示牌尺寸为 120cm*90cm,用亚克力材质进行制作。</w:t>
      </w:r>
    </w:p>
    <w:p>
      <w:pPr>
        <w:pStyle w:val="BodyText"/>
        <w:spacing w:line="312" w:lineRule="auto" w:before="91"/>
        <w:ind w:right="194" w:firstLine="482"/>
      </w:pPr>
      <w:r>
        <w:rPr/>
        <w:t>一、</w:t>
      </w:r>
      <w:r>
        <w:rPr>
          <w:b/>
        </w:rPr>
        <w:t>单位法定名称：</w:t>
      </w:r>
      <w:r>
        <w:rPr/>
        <w:t>插槽尺寸为 35cm*5cm。以单位营业执照或组织机构代码证名称为准。</w:t>
      </w:r>
    </w:p>
    <w:p>
      <w:pPr>
        <w:pStyle w:val="Heading3"/>
        <w:spacing w:line="312" w:lineRule="auto" w:before="2"/>
        <w:ind w:left="200" w:right="241" w:firstLine="482"/>
        <w:rPr>
          <w:rFonts w:ascii="仿宋" w:eastAsia="仿宋" w:hint="eastAsia"/>
        </w:rPr>
      </w:pPr>
      <w:r>
        <w:rPr>
          <w:rFonts w:ascii="仿宋" w:eastAsia="仿宋" w:hint="eastAsia"/>
          <w:w w:val="95"/>
        </w:rPr>
        <w:t>二、消防安全责任人、消防安全管理人、微型消防站站 </w:t>
      </w:r>
      <w:r>
        <w:rPr>
          <w:rFonts w:ascii="仿宋" w:eastAsia="仿宋" w:hint="eastAsia"/>
        </w:rPr>
        <w:t>长：</w:t>
      </w:r>
    </w:p>
    <w:p>
      <w:pPr>
        <w:pStyle w:val="BodyText"/>
        <w:spacing w:line="312" w:lineRule="auto"/>
        <w:ind w:right="119" w:firstLine="480"/>
      </w:pPr>
      <w:r>
        <w:rPr/>
        <w:t>以张贴照片(照片尺寸为 5 寸)和粘贴姓名职务的形式， 将单位消防安全责任人、管理人、微型消防站站长进行公示。单位消防安全责任人、管理人、微型消防站站长进行调整的， 需相应的调整，并于人员调整后 5 个工作日内将《消防安全管理人员报告备案表》填写盖章后报管辖消防救援部门。</w:t>
      </w:r>
    </w:p>
    <w:p>
      <w:pPr>
        <w:pStyle w:val="BodyText"/>
        <w:spacing w:line="312" w:lineRule="auto" w:before="1"/>
        <w:ind w:right="235" w:firstLine="480"/>
        <w:jc w:val="both"/>
      </w:pPr>
      <w:r>
        <w:rPr/>
        <w:t>消防安全责任人是对单位消防安全工作全面负责人，一般法人单位的法定代表人或非法人单位的主要负责人是单位的消防安全责任人。《消防法》第十六条规定，单位的主要负责人是本单位的消防安全责任人。</w:t>
      </w:r>
    </w:p>
    <w:p>
      <w:pPr>
        <w:pStyle w:val="BodyText"/>
        <w:spacing w:line="312" w:lineRule="auto" w:before="2"/>
        <w:ind w:right="233" w:firstLine="480"/>
        <w:jc w:val="both"/>
      </w:pPr>
      <w:r>
        <w:rPr/>
        <w:t>消防安全管理人一般由本单位分管消防安全、安全生产的领导担任，对消防安全责任人负责，实施和组织落实本单位消防安全管理工作的人员。</w:t>
      </w:r>
    </w:p>
    <w:p>
      <w:pPr>
        <w:pStyle w:val="BodyText"/>
        <w:spacing w:line="314" w:lineRule="auto" w:before="1"/>
        <w:ind w:right="233" w:firstLine="480"/>
      </w:pPr>
      <w:r>
        <w:rPr>
          <w:spacing w:val="4"/>
        </w:rPr>
        <w:t>微型消防站站长由单位自行确定，建议由</w:t>
      </w:r>
      <w:r>
        <w:rPr>
          <w:color w:val="333333"/>
          <w:spacing w:val="4"/>
        </w:rPr>
        <w:t>取得消防执业</w:t>
      </w:r>
      <w:r>
        <w:rPr>
          <w:color w:val="333333"/>
        </w:rPr>
        <w:t>资格证书的人员担任。</w:t>
      </w:r>
    </w:p>
    <w:p>
      <w:pPr>
        <w:pStyle w:val="Heading3"/>
        <w:spacing w:line="302" w:lineRule="exact"/>
        <w:ind w:left="682"/>
        <w:rPr>
          <w:rFonts w:ascii="仿宋" w:eastAsia="仿宋" w:hint="eastAsia"/>
        </w:rPr>
      </w:pPr>
      <w:r>
        <w:rPr>
          <w:rFonts w:ascii="仿宋" w:eastAsia="仿宋" w:hint="eastAsia"/>
          <w:w w:val="95"/>
        </w:rPr>
        <w:t>三、单位基本情况</w:t>
      </w:r>
    </w:p>
    <w:p>
      <w:pPr>
        <w:pStyle w:val="BodyText"/>
        <w:spacing w:line="312" w:lineRule="auto" w:before="93"/>
        <w:ind w:right="119" w:firstLine="480"/>
      </w:pPr>
      <w:r>
        <w:rPr>
          <w:color w:val="333333"/>
          <w:spacing w:val="-10"/>
        </w:rPr>
        <w:t>插槽内纸张为 </w:t>
      </w:r>
      <w:r>
        <w:rPr>
          <w:color w:val="333333"/>
        </w:rPr>
        <w:t>A4</w:t>
      </w:r>
      <w:r>
        <w:rPr>
          <w:color w:val="333333"/>
          <w:spacing w:val="-16"/>
        </w:rPr>
        <w:t> 版面，上半页公示单位或场所成立时间、</w:t>
      </w:r>
      <w:r>
        <w:rPr>
          <w:color w:val="333333"/>
        </w:rPr>
        <w:t>面积、层数、性质、消防许可、安全出口设置、消防设施设</w:t>
      </w:r>
    </w:p>
    <w:p>
      <w:pPr>
        <w:spacing w:after="0" w:line="312" w:lineRule="auto"/>
        <w:sectPr>
          <w:pgSz w:w="8400" w:h="11910"/>
          <w:pgMar w:header="0" w:footer="870" w:top="1100" w:bottom="1060" w:left="820" w:right="780"/>
        </w:sectPr>
      </w:pPr>
    </w:p>
    <w:p>
      <w:pPr>
        <w:spacing w:line="312" w:lineRule="auto" w:before="127"/>
        <w:ind w:left="682" w:right="1550" w:hanging="483"/>
        <w:jc w:val="left"/>
        <w:rPr>
          <w:b/>
          <w:sz w:val="24"/>
        </w:rPr>
      </w:pPr>
      <w:r>
        <w:rPr>
          <w:color w:val="333333"/>
          <w:sz w:val="24"/>
        </w:rPr>
        <w:t>置等基本情况，下半页可附场所标准层平面图。</w:t>
      </w:r>
      <w:r>
        <w:rPr>
          <w:b/>
          <w:sz w:val="24"/>
        </w:rPr>
        <w:t>四、消防安全承诺书</w:t>
      </w:r>
    </w:p>
    <w:p>
      <w:pPr>
        <w:pStyle w:val="BodyText"/>
        <w:spacing w:line="312" w:lineRule="auto" w:before="2"/>
        <w:ind w:right="235" w:firstLine="480"/>
        <w:jc w:val="both"/>
      </w:pPr>
      <w:r>
        <w:rPr>
          <w:color w:val="333333"/>
          <w:spacing w:val="-9"/>
        </w:rPr>
        <w:t>插槽内纸张为 </w:t>
      </w:r>
      <w:r>
        <w:rPr>
          <w:color w:val="333333"/>
        </w:rPr>
        <w:t>A4</w:t>
      </w:r>
      <w:r>
        <w:rPr>
          <w:color w:val="333333"/>
          <w:spacing w:val="-18"/>
        </w:rPr>
        <w:t> 版面，</w:t>
      </w:r>
      <w:r>
        <w:rPr>
          <w:spacing w:val="-1"/>
        </w:rPr>
        <w:t>落款由各单位法人或者主要负责</w:t>
      </w:r>
      <w:r>
        <w:rPr/>
        <w:t>人签字，并加盖单位公章和注明日期。如更换法人或者主要负责人应当重新签字承诺，一般每半年更新一次。</w:t>
      </w:r>
    </w:p>
    <w:p>
      <w:pPr>
        <w:pStyle w:val="Heading3"/>
        <w:spacing w:before="1"/>
        <w:ind w:left="682"/>
        <w:rPr>
          <w:rFonts w:ascii="仿宋" w:eastAsia="仿宋" w:hint="eastAsia"/>
        </w:rPr>
      </w:pPr>
      <w:r>
        <w:rPr>
          <w:rFonts w:ascii="仿宋" w:eastAsia="仿宋" w:hint="eastAsia"/>
        </w:rPr>
        <w:t>五、自动消防设施操作人员持证信息</w:t>
      </w:r>
    </w:p>
    <w:p>
      <w:pPr>
        <w:pStyle w:val="BodyText"/>
        <w:spacing w:line="312" w:lineRule="auto" w:before="91"/>
        <w:ind w:right="235" w:firstLine="480"/>
        <w:jc w:val="both"/>
      </w:pPr>
      <w:r>
        <w:rPr>
          <w:color w:val="333333"/>
        </w:rPr>
        <w:t>以张贴照片</w:t>
      </w:r>
      <w:r>
        <w:rPr/>
        <w:t>(照片尺寸为 3 寸)</w:t>
      </w:r>
      <w:r>
        <w:rPr>
          <w:color w:val="333333"/>
        </w:rPr>
        <w:t>和粘贴姓名、持证等级、持证编码的形式，将自动消防设施操作人员持证信息进行公示，持证人员一般不得少于 6 个。单位无自动消防设施的， 可公示单位微型消防站队员。</w:t>
      </w:r>
    </w:p>
    <w:p>
      <w:pPr>
        <w:spacing w:after="0" w:line="312" w:lineRule="auto"/>
        <w:jc w:val="both"/>
        <w:sectPr>
          <w:pgSz w:w="8400" w:h="11910"/>
          <w:pgMar w:header="0" w:footer="870" w:top="1100" w:bottom="1060" w:left="820" w:right="780"/>
        </w:sectPr>
      </w:pPr>
    </w:p>
    <w:p>
      <w:pPr>
        <w:pStyle w:val="BodyText"/>
        <w:spacing w:before="12"/>
        <w:ind w:left="0"/>
        <w:rPr>
          <w:sz w:val="17"/>
        </w:rPr>
      </w:pPr>
      <w:r>
        <w:rPr/>
        <w:drawing>
          <wp:anchor distT="0" distB="0" distL="0" distR="0" allowOverlap="1" layoutInCell="1" locked="0" behindDoc="1" simplePos="0" relativeHeight="240605184">
            <wp:simplePos x="0" y="0"/>
            <wp:positionH relativeFrom="page">
              <wp:posOffset>842756</wp:posOffset>
            </wp:positionH>
            <wp:positionV relativeFrom="page">
              <wp:posOffset>780517</wp:posOffset>
            </wp:positionV>
            <wp:extent cx="6020587" cy="3764009"/>
            <wp:effectExtent l="0" t="0" r="0" b="0"/>
            <wp:wrapNone/>
            <wp:docPr id="41" name="image29.jpeg"/>
            <wp:cNvGraphicFramePr>
              <a:graphicFrameLocks noChangeAspect="1"/>
            </wp:cNvGraphicFramePr>
            <a:graphic>
              <a:graphicData uri="http://schemas.openxmlformats.org/drawingml/2006/picture">
                <pic:pic>
                  <pic:nvPicPr>
                    <pic:cNvPr id="42" name="image29.jpeg"/>
                    <pic:cNvPicPr/>
                  </pic:nvPicPr>
                  <pic:blipFill>
                    <a:blip r:embed="rId44" cstate="print"/>
                    <a:stretch>
                      <a:fillRect/>
                    </a:stretch>
                  </pic:blipFill>
                  <pic:spPr>
                    <a:xfrm>
                      <a:off x="0" y="0"/>
                      <a:ext cx="6020587" cy="3764009"/>
                    </a:xfrm>
                    <a:prstGeom prst="rect">
                      <a:avLst/>
                    </a:prstGeom>
                  </pic:spPr>
                </pic:pic>
              </a:graphicData>
            </a:graphic>
          </wp:anchor>
        </w:drawing>
      </w:r>
    </w:p>
    <w:p>
      <w:pPr>
        <w:spacing w:before="63"/>
        <w:ind w:left="112" w:right="0" w:firstLine="0"/>
        <w:jc w:val="left"/>
        <w:rPr>
          <w:b/>
          <w:sz w:val="26"/>
        </w:rPr>
      </w:pPr>
      <w:r>
        <w:rPr>
          <w:b/>
          <w:color w:val="333333"/>
          <w:sz w:val="26"/>
        </w:rPr>
        <w:t>公示牌示例图</w:t>
      </w:r>
    </w:p>
    <w:sectPr>
      <w:footerReference w:type="even" r:id="rId43"/>
      <w:pgSz w:w="11910" w:h="8400" w:orient="landscape"/>
      <w:pgMar w:footer="870" w:header="0" w:top="740" w:bottom="1060" w:left="10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86"/>
    <w:family w:val="swiss"/>
    <w:pitch w:val="variable"/>
  </w:font>
  <w:font w:name="宋体">
    <w:altName w:val="宋体"/>
    <w:charset w:val="86"/>
    <w:family w:val="auto"/>
    <w:pitch w:val="variable"/>
  </w:font>
  <w:font w:name="Microsoft JhengHei">
    <w:altName w:val="Microsoft JhengHei"/>
    <w:charset w:val="0"/>
    <w:family w:val="swiss"/>
    <w:pitch w:val="variable"/>
  </w:font>
  <w:font w:name="仿宋">
    <w:altName w:val="仿宋"/>
    <w:charset w:val="86"/>
    <w:family w:val="modern"/>
    <w:pitch w:val="fixed"/>
  </w:font>
  <w:font w:name="黑体">
    <w:altName w:val="黑体"/>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46.640015pt;margin-top:540.580994pt;width:23.15pt;height:12.6pt;mso-position-horizontal-relative:page;mso-position-vertical-relative:page;z-index:-262722560"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11</w:t>
                </w:r>
                <w:r>
                  <w:rPr/>
                  <w:fldChar w:fldCharType="end"/>
                </w:r>
                <w:r>
                  <w:rPr>
                    <w:rFonts w:ascii="宋体"/>
                    <w:sz w:val="21"/>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0.023998pt;margin-top:540.820984pt;width:28.4pt;height:12.6pt;mso-position-horizontal-relative:page;mso-position-vertical-relative:page;z-index:-262713344"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100</w:t>
                </w:r>
                <w:r>
                  <w:rPr/>
                  <w:fldChar w:fldCharType="end"/>
                </w:r>
                <w:r>
                  <w:rPr>
                    <w:rFonts w:ascii="宋体"/>
                    <w:sz w:val="21"/>
                  </w:rPr>
                  <w: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0pt;margin-top:365.165009pt;width:28.45pt;height:12.6pt;mso-position-horizontal-relative:page;mso-position-vertical-relative:page;z-index:-262712320" type="#_x0000_t202" filled="false" stroked="false">
          <v:textbox inset="0,0,0,0">
            <w:txbxContent>
              <w:p>
                <w:pPr>
                  <w:spacing w:line="251" w:lineRule="exact" w:before="0"/>
                  <w:ind w:left="20" w:right="0" w:firstLine="0"/>
                  <w:jc w:val="left"/>
                  <w:rPr>
                    <w:rFonts w:ascii="宋体"/>
                    <w:sz w:val="21"/>
                  </w:rPr>
                </w:pPr>
                <w:r>
                  <w:rPr>
                    <w:rFonts w:ascii="宋体"/>
                    <w:sz w:val="21"/>
                  </w:rPr>
                  <w:t>-150-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0.023998pt;margin-top:542.621033pt;width:23.15pt;height:12.6pt;mso-position-horizontal-relative:page;mso-position-vertical-relative:page;z-index:-262721536"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10</w:t>
                </w:r>
                <w:r>
                  <w:rPr/>
                  <w:fldChar w:fldCharType="end"/>
                </w:r>
                <w:r>
                  <w:rPr>
                    <w:rFonts w:ascii="宋体"/>
                    <w:sz w:val="21"/>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0pt;margin-top:366.845001pt;width:23.15pt;height:12.6pt;mso-position-horizontal-relative:page;mso-position-vertical-relative:page;z-index:-262720512"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38</w:t>
                </w:r>
                <w:r>
                  <w:rPr/>
                  <w:fldChar w:fldCharType="end"/>
                </w:r>
                <w:r>
                  <w:rPr>
                    <w:rFonts w:ascii="宋体"/>
                    <w:sz w:val="21"/>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2.179993pt;margin-top:364.805023pt;width:23.15pt;height:12.6pt;mso-position-horizontal-relative:page;mso-position-vertical-relative:page;z-index:-262719488"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39</w:t>
                </w:r>
                <w:r>
                  <w:rPr/>
                  <w:fldChar w:fldCharType="end"/>
                </w:r>
                <w:r>
                  <w:rPr>
                    <w:rFonts w:ascii="宋体"/>
                    <w:sz w:val="21"/>
                  </w:rPr>
                  <w: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0.023998pt;margin-top:542.621033pt;width:23.15pt;height:12.6pt;mso-position-horizontal-relative:page;mso-position-vertical-relative:page;z-index:-262718464"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50</w:t>
                </w:r>
                <w:r>
                  <w:rPr/>
                  <w:fldChar w:fldCharType="end"/>
                </w:r>
                <w:r>
                  <w:rPr>
                    <w:rFonts w:ascii="宋体"/>
                    <w:sz w:val="21"/>
                  </w:rPr>
                  <w: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6.640015pt;margin-top:540.580994pt;width:23.15pt;height:14.6pt;mso-position-horizontal-relative:page;mso-position-vertical-relative:page;z-index:-262717440" type="#_x0000_t202" filled="false" stroked="false">
          <v:textbox inset="0,0,0,0">
            <w:txbxContent>
              <w:p>
                <w:pPr>
                  <w:spacing w:line="26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51</w:t>
                </w:r>
                <w:r>
                  <w:rPr/>
                  <w:fldChar w:fldCharType="end"/>
                </w:r>
                <w:r>
                  <w:rPr>
                    <w:rFonts w:ascii="宋体"/>
                    <w:sz w:val="21"/>
                  </w:rPr>
                  <w: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22.299988pt;margin-top:366.845001pt;width:23.15pt;height:12.6pt;mso-position-horizontal-relative:page;mso-position-vertical-relative:page;z-index:-262716416" type="#_x0000_t202" filled="false" stroked="false">
          <v:textbox inset="0,0,0,0">
            <w:txbxContent>
              <w:p>
                <w:pPr>
                  <w:spacing w:line="251" w:lineRule="exact" w:before="0"/>
                  <w:ind w:left="20" w:right="0" w:firstLine="0"/>
                  <w:jc w:val="left"/>
                  <w:rPr>
                    <w:rFonts w:ascii="宋体"/>
                    <w:sz w:val="21"/>
                  </w:rPr>
                </w:pPr>
                <w:r>
                  <w:rPr>
                    <w:rFonts w:ascii="宋体"/>
                    <w:sz w:val="21"/>
                  </w:rPr>
                  <w:t>-69-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0pt;margin-top:366.845001pt;width:23.15pt;height:12.6pt;mso-position-horizontal-relative:page;mso-position-vertical-relative:page;z-index:-262715392" type="#_x0000_t202" filled="false" stroked="false">
          <v:textbox inset="0,0,0,0">
            <w:txbxContent>
              <w:p>
                <w:pPr>
                  <w:spacing w:line="251" w:lineRule="exact" w:before="0"/>
                  <w:ind w:left="20" w:right="0" w:firstLine="0"/>
                  <w:jc w:val="left"/>
                  <w:rPr>
                    <w:rFonts w:ascii="宋体"/>
                    <w:sz w:val="21"/>
                  </w:rPr>
                </w:pPr>
                <w:r>
                  <w:rPr>
                    <w:rFonts w:ascii="宋体"/>
                    <w:sz w:val="21"/>
                  </w:rPr>
                  <w:t>-70-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1.359985pt;margin-top:540.820984pt;width:28.4pt;height:12.6pt;mso-position-horizontal-relative:page;mso-position-vertical-relative:page;z-index:-262714368" type="#_x0000_t202" filled="false" stroked="false">
          <v:textbox inset="0,0,0,0">
            <w:txbxContent>
              <w:p>
                <w:pPr>
                  <w:spacing w:line="251" w:lineRule="exact" w:before="0"/>
                  <w:ind w:left="20" w:right="0" w:firstLine="0"/>
                  <w:jc w:val="left"/>
                  <w:rPr>
                    <w:rFonts w:ascii="宋体"/>
                    <w:sz w:val="21"/>
                  </w:rPr>
                </w:pPr>
                <w:r>
                  <w:rPr>
                    <w:rFonts w:ascii="宋体"/>
                    <w:sz w:val="21"/>
                  </w:rPr>
                  <w:t>-</w:t>
                </w:r>
                <w:r>
                  <w:rPr/>
                  <w:fldChar w:fldCharType="begin"/>
                </w:r>
                <w:r>
                  <w:rPr>
                    <w:rFonts w:ascii="宋体"/>
                    <w:sz w:val="21"/>
                  </w:rPr>
                  <w:instrText> PAGE </w:instrText>
                </w:r>
                <w:r>
                  <w:rPr/>
                  <w:fldChar w:fldCharType="separate"/>
                </w:r>
                <w:r>
                  <w:rPr/>
                  <w:t>101</w:t>
                </w:r>
                <w:r>
                  <w:rPr/>
                  <w:fldChar w:fldCharType="end"/>
                </w:r>
                <w:r>
                  <w:rPr>
                    <w:rFonts w:ascii="宋体"/>
                    <w:sz w:val="21"/>
                  </w:rPr>
                  <w: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3"/>
      <w:numFmt w:val="decimal"/>
      <w:lvlText w:val="(%1)"/>
      <w:lvlJc w:val="left"/>
      <w:pPr>
        <w:ind w:left="1125" w:hanging="349"/>
        <w:jc w:val="left"/>
      </w:pPr>
      <w:rPr>
        <w:rFonts w:hint="default" w:ascii="仿宋" w:hAnsi="仿宋" w:eastAsia="仿宋" w:cs="仿宋"/>
        <w:spacing w:val="-8"/>
        <w:w w:val="100"/>
        <w:sz w:val="22"/>
        <w:szCs w:val="22"/>
        <w:lang w:val="zh-CN" w:eastAsia="zh-CN" w:bidi="zh-CN"/>
      </w:rPr>
    </w:lvl>
    <w:lvl w:ilvl="1">
      <w:start w:val="0"/>
      <w:numFmt w:val="bullet"/>
      <w:lvlText w:val="•"/>
      <w:lvlJc w:val="left"/>
      <w:pPr>
        <w:ind w:left="1721" w:hanging="349"/>
      </w:pPr>
      <w:rPr>
        <w:rFonts w:hint="default"/>
        <w:lang w:val="zh-CN" w:eastAsia="zh-CN" w:bidi="zh-CN"/>
      </w:rPr>
    </w:lvl>
    <w:lvl w:ilvl="2">
      <w:start w:val="0"/>
      <w:numFmt w:val="bullet"/>
      <w:lvlText w:val="•"/>
      <w:lvlJc w:val="left"/>
      <w:pPr>
        <w:ind w:left="2322" w:hanging="349"/>
      </w:pPr>
      <w:rPr>
        <w:rFonts w:hint="default"/>
        <w:lang w:val="zh-CN" w:eastAsia="zh-CN" w:bidi="zh-CN"/>
      </w:rPr>
    </w:lvl>
    <w:lvl w:ilvl="3">
      <w:start w:val="0"/>
      <w:numFmt w:val="bullet"/>
      <w:lvlText w:val="•"/>
      <w:lvlJc w:val="left"/>
      <w:pPr>
        <w:ind w:left="2923" w:hanging="349"/>
      </w:pPr>
      <w:rPr>
        <w:rFonts w:hint="default"/>
        <w:lang w:val="zh-CN" w:eastAsia="zh-CN" w:bidi="zh-CN"/>
      </w:rPr>
    </w:lvl>
    <w:lvl w:ilvl="4">
      <w:start w:val="0"/>
      <w:numFmt w:val="bullet"/>
      <w:lvlText w:val="•"/>
      <w:lvlJc w:val="left"/>
      <w:pPr>
        <w:ind w:left="3525" w:hanging="349"/>
      </w:pPr>
      <w:rPr>
        <w:rFonts w:hint="default"/>
        <w:lang w:val="zh-CN" w:eastAsia="zh-CN" w:bidi="zh-CN"/>
      </w:rPr>
    </w:lvl>
    <w:lvl w:ilvl="5">
      <w:start w:val="0"/>
      <w:numFmt w:val="bullet"/>
      <w:lvlText w:val="•"/>
      <w:lvlJc w:val="left"/>
      <w:pPr>
        <w:ind w:left="4126" w:hanging="349"/>
      </w:pPr>
      <w:rPr>
        <w:rFonts w:hint="default"/>
        <w:lang w:val="zh-CN" w:eastAsia="zh-CN" w:bidi="zh-CN"/>
      </w:rPr>
    </w:lvl>
    <w:lvl w:ilvl="6">
      <w:start w:val="0"/>
      <w:numFmt w:val="bullet"/>
      <w:lvlText w:val="•"/>
      <w:lvlJc w:val="left"/>
      <w:pPr>
        <w:ind w:left="4727" w:hanging="349"/>
      </w:pPr>
      <w:rPr>
        <w:rFonts w:hint="default"/>
        <w:lang w:val="zh-CN" w:eastAsia="zh-CN" w:bidi="zh-CN"/>
      </w:rPr>
    </w:lvl>
    <w:lvl w:ilvl="7">
      <w:start w:val="0"/>
      <w:numFmt w:val="bullet"/>
      <w:lvlText w:val="•"/>
      <w:lvlJc w:val="left"/>
      <w:pPr>
        <w:ind w:left="5328" w:hanging="349"/>
      </w:pPr>
      <w:rPr>
        <w:rFonts w:hint="default"/>
        <w:lang w:val="zh-CN" w:eastAsia="zh-CN" w:bidi="zh-CN"/>
      </w:rPr>
    </w:lvl>
    <w:lvl w:ilvl="8">
      <w:start w:val="0"/>
      <w:numFmt w:val="bullet"/>
      <w:lvlText w:val="•"/>
      <w:lvlJc w:val="left"/>
      <w:pPr>
        <w:ind w:left="5930" w:hanging="349"/>
      </w:pPr>
      <w:rPr>
        <w:rFonts w:hint="default"/>
        <w:lang w:val="zh-CN" w:eastAsia="zh-CN" w:bidi="zh-CN"/>
      </w:rPr>
    </w:lvl>
  </w:abstractNum>
  <w:abstractNum w:abstractNumId="8">
    <w:multiLevelType w:val="hybridMultilevel"/>
    <w:lvl w:ilvl="0">
      <w:start w:val="1"/>
      <w:numFmt w:val="decimal"/>
      <w:lvlText w:val="(%1)"/>
      <w:lvlJc w:val="left"/>
      <w:pPr>
        <w:ind w:left="320" w:hanging="480"/>
        <w:jc w:val="left"/>
      </w:pPr>
      <w:rPr>
        <w:rFonts w:hint="default" w:ascii="仿宋" w:hAnsi="仿宋" w:eastAsia="仿宋" w:cs="仿宋"/>
        <w:w w:val="100"/>
        <w:sz w:val="24"/>
        <w:szCs w:val="24"/>
        <w:lang w:val="zh-CN" w:eastAsia="zh-CN" w:bidi="zh-CN"/>
      </w:rPr>
    </w:lvl>
    <w:lvl w:ilvl="1">
      <w:start w:val="0"/>
      <w:numFmt w:val="bullet"/>
      <w:lvlText w:val="•"/>
      <w:lvlJc w:val="left"/>
      <w:pPr>
        <w:ind w:left="1001" w:hanging="480"/>
      </w:pPr>
      <w:rPr>
        <w:rFonts w:hint="default"/>
        <w:lang w:val="zh-CN" w:eastAsia="zh-CN" w:bidi="zh-CN"/>
      </w:rPr>
    </w:lvl>
    <w:lvl w:ilvl="2">
      <w:start w:val="0"/>
      <w:numFmt w:val="bullet"/>
      <w:lvlText w:val="•"/>
      <w:lvlJc w:val="left"/>
      <w:pPr>
        <w:ind w:left="1682" w:hanging="480"/>
      </w:pPr>
      <w:rPr>
        <w:rFonts w:hint="default"/>
        <w:lang w:val="zh-CN" w:eastAsia="zh-CN" w:bidi="zh-CN"/>
      </w:rPr>
    </w:lvl>
    <w:lvl w:ilvl="3">
      <w:start w:val="0"/>
      <w:numFmt w:val="bullet"/>
      <w:lvlText w:val="•"/>
      <w:lvlJc w:val="left"/>
      <w:pPr>
        <w:ind w:left="2363" w:hanging="480"/>
      </w:pPr>
      <w:rPr>
        <w:rFonts w:hint="default"/>
        <w:lang w:val="zh-CN" w:eastAsia="zh-CN" w:bidi="zh-CN"/>
      </w:rPr>
    </w:lvl>
    <w:lvl w:ilvl="4">
      <w:start w:val="0"/>
      <w:numFmt w:val="bullet"/>
      <w:lvlText w:val="•"/>
      <w:lvlJc w:val="left"/>
      <w:pPr>
        <w:ind w:left="3045" w:hanging="480"/>
      </w:pPr>
      <w:rPr>
        <w:rFonts w:hint="default"/>
        <w:lang w:val="zh-CN" w:eastAsia="zh-CN" w:bidi="zh-CN"/>
      </w:rPr>
    </w:lvl>
    <w:lvl w:ilvl="5">
      <w:start w:val="0"/>
      <w:numFmt w:val="bullet"/>
      <w:lvlText w:val="•"/>
      <w:lvlJc w:val="left"/>
      <w:pPr>
        <w:ind w:left="3726" w:hanging="480"/>
      </w:pPr>
      <w:rPr>
        <w:rFonts w:hint="default"/>
        <w:lang w:val="zh-CN" w:eastAsia="zh-CN" w:bidi="zh-CN"/>
      </w:rPr>
    </w:lvl>
    <w:lvl w:ilvl="6">
      <w:start w:val="0"/>
      <w:numFmt w:val="bullet"/>
      <w:lvlText w:val="•"/>
      <w:lvlJc w:val="left"/>
      <w:pPr>
        <w:ind w:left="4407" w:hanging="480"/>
      </w:pPr>
      <w:rPr>
        <w:rFonts w:hint="default"/>
        <w:lang w:val="zh-CN" w:eastAsia="zh-CN" w:bidi="zh-CN"/>
      </w:rPr>
    </w:lvl>
    <w:lvl w:ilvl="7">
      <w:start w:val="0"/>
      <w:numFmt w:val="bullet"/>
      <w:lvlText w:val="•"/>
      <w:lvlJc w:val="left"/>
      <w:pPr>
        <w:ind w:left="5088" w:hanging="480"/>
      </w:pPr>
      <w:rPr>
        <w:rFonts w:hint="default"/>
        <w:lang w:val="zh-CN" w:eastAsia="zh-CN" w:bidi="zh-CN"/>
      </w:rPr>
    </w:lvl>
    <w:lvl w:ilvl="8">
      <w:start w:val="0"/>
      <w:numFmt w:val="bullet"/>
      <w:lvlText w:val="•"/>
      <w:lvlJc w:val="left"/>
      <w:pPr>
        <w:ind w:left="5770" w:hanging="480"/>
      </w:pPr>
      <w:rPr>
        <w:rFonts w:hint="default"/>
        <w:lang w:val="zh-CN" w:eastAsia="zh-CN" w:bidi="zh-CN"/>
      </w:rPr>
    </w:lvl>
  </w:abstractNum>
  <w:abstractNum w:abstractNumId="7">
    <w:multiLevelType w:val="hybridMultilevel"/>
    <w:lvl w:ilvl="0">
      <w:start w:val="1"/>
      <w:numFmt w:val="decimal"/>
      <w:lvlText w:val="(%1)"/>
      <w:lvlJc w:val="left"/>
      <w:pPr>
        <w:ind w:left="320" w:hanging="480"/>
        <w:jc w:val="left"/>
      </w:pPr>
      <w:rPr>
        <w:rFonts w:hint="default" w:ascii="仿宋" w:hAnsi="仿宋" w:eastAsia="仿宋" w:cs="仿宋"/>
        <w:spacing w:val="-14"/>
        <w:w w:val="100"/>
        <w:sz w:val="24"/>
        <w:szCs w:val="24"/>
        <w:lang w:val="zh-CN" w:eastAsia="zh-CN" w:bidi="zh-CN"/>
      </w:rPr>
    </w:lvl>
    <w:lvl w:ilvl="1">
      <w:start w:val="0"/>
      <w:numFmt w:val="bullet"/>
      <w:lvlText w:val="•"/>
      <w:lvlJc w:val="left"/>
      <w:pPr>
        <w:ind w:left="1001" w:hanging="480"/>
      </w:pPr>
      <w:rPr>
        <w:rFonts w:hint="default"/>
        <w:lang w:val="zh-CN" w:eastAsia="zh-CN" w:bidi="zh-CN"/>
      </w:rPr>
    </w:lvl>
    <w:lvl w:ilvl="2">
      <w:start w:val="0"/>
      <w:numFmt w:val="bullet"/>
      <w:lvlText w:val="•"/>
      <w:lvlJc w:val="left"/>
      <w:pPr>
        <w:ind w:left="1682" w:hanging="480"/>
      </w:pPr>
      <w:rPr>
        <w:rFonts w:hint="default"/>
        <w:lang w:val="zh-CN" w:eastAsia="zh-CN" w:bidi="zh-CN"/>
      </w:rPr>
    </w:lvl>
    <w:lvl w:ilvl="3">
      <w:start w:val="0"/>
      <w:numFmt w:val="bullet"/>
      <w:lvlText w:val="•"/>
      <w:lvlJc w:val="left"/>
      <w:pPr>
        <w:ind w:left="2363" w:hanging="480"/>
      </w:pPr>
      <w:rPr>
        <w:rFonts w:hint="default"/>
        <w:lang w:val="zh-CN" w:eastAsia="zh-CN" w:bidi="zh-CN"/>
      </w:rPr>
    </w:lvl>
    <w:lvl w:ilvl="4">
      <w:start w:val="0"/>
      <w:numFmt w:val="bullet"/>
      <w:lvlText w:val="•"/>
      <w:lvlJc w:val="left"/>
      <w:pPr>
        <w:ind w:left="3045" w:hanging="480"/>
      </w:pPr>
      <w:rPr>
        <w:rFonts w:hint="default"/>
        <w:lang w:val="zh-CN" w:eastAsia="zh-CN" w:bidi="zh-CN"/>
      </w:rPr>
    </w:lvl>
    <w:lvl w:ilvl="5">
      <w:start w:val="0"/>
      <w:numFmt w:val="bullet"/>
      <w:lvlText w:val="•"/>
      <w:lvlJc w:val="left"/>
      <w:pPr>
        <w:ind w:left="3726" w:hanging="480"/>
      </w:pPr>
      <w:rPr>
        <w:rFonts w:hint="default"/>
        <w:lang w:val="zh-CN" w:eastAsia="zh-CN" w:bidi="zh-CN"/>
      </w:rPr>
    </w:lvl>
    <w:lvl w:ilvl="6">
      <w:start w:val="0"/>
      <w:numFmt w:val="bullet"/>
      <w:lvlText w:val="•"/>
      <w:lvlJc w:val="left"/>
      <w:pPr>
        <w:ind w:left="4407" w:hanging="480"/>
      </w:pPr>
      <w:rPr>
        <w:rFonts w:hint="default"/>
        <w:lang w:val="zh-CN" w:eastAsia="zh-CN" w:bidi="zh-CN"/>
      </w:rPr>
    </w:lvl>
    <w:lvl w:ilvl="7">
      <w:start w:val="0"/>
      <w:numFmt w:val="bullet"/>
      <w:lvlText w:val="•"/>
      <w:lvlJc w:val="left"/>
      <w:pPr>
        <w:ind w:left="5088" w:hanging="480"/>
      </w:pPr>
      <w:rPr>
        <w:rFonts w:hint="default"/>
        <w:lang w:val="zh-CN" w:eastAsia="zh-CN" w:bidi="zh-CN"/>
      </w:rPr>
    </w:lvl>
    <w:lvl w:ilvl="8">
      <w:start w:val="0"/>
      <w:numFmt w:val="bullet"/>
      <w:lvlText w:val="•"/>
      <w:lvlJc w:val="left"/>
      <w:pPr>
        <w:ind w:left="5770" w:hanging="480"/>
      </w:pPr>
      <w:rPr>
        <w:rFonts w:hint="default"/>
        <w:lang w:val="zh-CN" w:eastAsia="zh-CN" w:bidi="zh-CN"/>
      </w:rPr>
    </w:lvl>
  </w:abstractNum>
  <w:abstractNum w:abstractNumId="6">
    <w:multiLevelType w:val="hybridMultilevel"/>
    <w:lvl w:ilvl="0">
      <w:start w:val="5"/>
      <w:numFmt w:val="decimal"/>
      <w:lvlText w:val="(%1)"/>
      <w:lvlJc w:val="left"/>
      <w:pPr>
        <w:ind w:left="320" w:hanging="361"/>
        <w:jc w:val="left"/>
      </w:pPr>
      <w:rPr>
        <w:rFonts w:hint="default" w:ascii="仿宋" w:hAnsi="仿宋" w:eastAsia="仿宋" w:cs="仿宋"/>
        <w:spacing w:val="-17"/>
        <w:w w:val="100"/>
        <w:sz w:val="22"/>
        <w:szCs w:val="22"/>
        <w:lang w:val="zh-CN" w:eastAsia="zh-CN" w:bidi="zh-CN"/>
      </w:rPr>
    </w:lvl>
    <w:lvl w:ilvl="1">
      <w:start w:val="0"/>
      <w:numFmt w:val="bullet"/>
      <w:lvlText w:val="•"/>
      <w:lvlJc w:val="left"/>
      <w:pPr>
        <w:ind w:left="1001" w:hanging="361"/>
      </w:pPr>
      <w:rPr>
        <w:rFonts w:hint="default"/>
        <w:lang w:val="zh-CN" w:eastAsia="zh-CN" w:bidi="zh-CN"/>
      </w:rPr>
    </w:lvl>
    <w:lvl w:ilvl="2">
      <w:start w:val="0"/>
      <w:numFmt w:val="bullet"/>
      <w:lvlText w:val="•"/>
      <w:lvlJc w:val="left"/>
      <w:pPr>
        <w:ind w:left="1682" w:hanging="361"/>
      </w:pPr>
      <w:rPr>
        <w:rFonts w:hint="default"/>
        <w:lang w:val="zh-CN" w:eastAsia="zh-CN" w:bidi="zh-CN"/>
      </w:rPr>
    </w:lvl>
    <w:lvl w:ilvl="3">
      <w:start w:val="0"/>
      <w:numFmt w:val="bullet"/>
      <w:lvlText w:val="•"/>
      <w:lvlJc w:val="left"/>
      <w:pPr>
        <w:ind w:left="2363" w:hanging="361"/>
      </w:pPr>
      <w:rPr>
        <w:rFonts w:hint="default"/>
        <w:lang w:val="zh-CN" w:eastAsia="zh-CN" w:bidi="zh-CN"/>
      </w:rPr>
    </w:lvl>
    <w:lvl w:ilvl="4">
      <w:start w:val="0"/>
      <w:numFmt w:val="bullet"/>
      <w:lvlText w:val="•"/>
      <w:lvlJc w:val="left"/>
      <w:pPr>
        <w:ind w:left="3045" w:hanging="361"/>
      </w:pPr>
      <w:rPr>
        <w:rFonts w:hint="default"/>
        <w:lang w:val="zh-CN" w:eastAsia="zh-CN" w:bidi="zh-CN"/>
      </w:rPr>
    </w:lvl>
    <w:lvl w:ilvl="5">
      <w:start w:val="0"/>
      <w:numFmt w:val="bullet"/>
      <w:lvlText w:val="•"/>
      <w:lvlJc w:val="left"/>
      <w:pPr>
        <w:ind w:left="3726" w:hanging="361"/>
      </w:pPr>
      <w:rPr>
        <w:rFonts w:hint="default"/>
        <w:lang w:val="zh-CN" w:eastAsia="zh-CN" w:bidi="zh-CN"/>
      </w:rPr>
    </w:lvl>
    <w:lvl w:ilvl="6">
      <w:start w:val="0"/>
      <w:numFmt w:val="bullet"/>
      <w:lvlText w:val="•"/>
      <w:lvlJc w:val="left"/>
      <w:pPr>
        <w:ind w:left="4407" w:hanging="361"/>
      </w:pPr>
      <w:rPr>
        <w:rFonts w:hint="default"/>
        <w:lang w:val="zh-CN" w:eastAsia="zh-CN" w:bidi="zh-CN"/>
      </w:rPr>
    </w:lvl>
    <w:lvl w:ilvl="7">
      <w:start w:val="0"/>
      <w:numFmt w:val="bullet"/>
      <w:lvlText w:val="•"/>
      <w:lvlJc w:val="left"/>
      <w:pPr>
        <w:ind w:left="5088" w:hanging="361"/>
      </w:pPr>
      <w:rPr>
        <w:rFonts w:hint="default"/>
        <w:lang w:val="zh-CN" w:eastAsia="zh-CN" w:bidi="zh-CN"/>
      </w:rPr>
    </w:lvl>
    <w:lvl w:ilvl="8">
      <w:start w:val="0"/>
      <w:numFmt w:val="bullet"/>
      <w:lvlText w:val="•"/>
      <w:lvlJc w:val="left"/>
      <w:pPr>
        <w:ind w:left="5770" w:hanging="361"/>
      </w:pPr>
      <w:rPr>
        <w:rFonts w:hint="default"/>
        <w:lang w:val="zh-CN" w:eastAsia="zh-CN" w:bidi="zh-CN"/>
      </w:rPr>
    </w:lvl>
  </w:abstractNum>
  <w:abstractNum w:abstractNumId="5">
    <w:multiLevelType w:val="hybridMultilevel"/>
    <w:lvl w:ilvl="0">
      <w:start w:val="1"/>
      <w:numFmt w:val="decimal"/>
      <w:lvlText w:val="(%1)"/>
      <w:lvlJc w:val="left"/>
      <w:pPr>
        <w:ind w:left="320" w:hanging="361"/>
        <w:jc w:val="left"/>
      </w:pPr>
      <w:rPr>
        <w:rFonts w:hint="default" w:ascii="仿宋" w:hAnsi="仿宋" w:eastAsia="仿宋" w:cs="仿宋"/>
        <w:spacing w:val="-17"/>
        <w:w w:val="100"/>
        <w:sz w:val="22"/>
        <w:szCs w:val="22"/>
        <w:lang w:val="zh-CN" w:eastAsia="zh-CN" w:bidi="zh-CN"/>
      </w:rPr>
    </w:lvl>
    <w:lvl w:ilvl="1">
      <w:start w:val="0"/>
      <w:numFmt w:val="bullet"/>
      <w:lvlText w:val="•"/>
      <w:lvlJc w:val="left"/>
      <w:pPr>
        <w:ind w:left="1001" w:hanging="361"/>
      </w:pPr>
      <w:rPr>
        <w:rFonts w:hint="default"/>
        <w:lang w:val="zh-CN" w:eastAsia="zh-CN" w:bidi="zh-CN"/>
      </w:rPr>
    </w:lvl>
    <w:lvl w:ilvl="2">
      <w:start w:val="0"/>
      <w:numFmt w:val="bullet"/>
      <w:lvlText w:val="•"/>
      <w:lvlJc w:val="left"/>
      <w:pPr>
        <w:ind w:left="1682" w:hanging="361"/>
      </w:pPr>
      <w:rPr>
        <w:rFonts w:hint="default"/>
        <w:lang w:val="zh-CN" w:eastAsia="zh-CN" w:bidi="zh-CN"/>
      </w:rPr>
    </w:lvl>
    <w:lvl w:ilvl="3">
      <w:start w:val="0"/>
      <w:numFmt w:val="bullet"/>
      <w:lvlText w:val="•"/>
      <w:lvlJc w:val="left"/>
      <w:pPr>
        <w:ind w:left="2363" w:hanging="361"/>
      </w:pPr>
      <w:rPr>
        <w:rFonts w:hint="default"/>
        <w:lang w:val="zh-CN" w:eastAsia="zh-CN" w:bidi="zh-CN"/>
      </w:rPr>
    </w:lvl>
    <w:lvl w:ilvl="4">
      <w:start w:val="0"/>
      <w:numFmt w:val="bullet"/>
      <w:lvlText w:val="•"/>
      <w:lvlJc w:val="left"/>
      <w:pPr>
        <w:ind w:left="3045" w:hanging="361"/>
      </w:pPr>
      <w:rPr>
        <w:rFonts w:hint="default"/>
        <w:lang w:val="zh-CN" w:eastAsia="zh-CN" w:bidi="zh-CN"/>
      </w:rPr>
    </w:lvl>
    <w:lvl w:ilvl="5">
      <w:start w:val="0"/>
      <w:numFmt w:val="bullet"/>
      <w:lvlText w:val="•"/>
      <w:lvlJc w:val="left"/>
      <w:pPr>
        <w:ind w:left="3726" w:hanging="361"/>
      </w:pPr>
      <w:rPr>
        <w:rFonts w:hint="default"/>
        <w:lang w:val="zh-CN" w:eastAsia="zh-CN" w:bidi="zh-CN"/>
      </w:rPr>
    </w:lvl>
    <w:lvl w:ilvl="6">
      <w:start w:val="0"/>
      <w:numFmt w:val="bullet"/>
      <w:lvlText w:val="•"/>
      <w:lvlJc w:val="left"/>
      <w:pPr>
        <w:ind w:left="4407" w:hanging="361"/>
      </w:pPr>
      <w:rPr>
        <w:rFonts w:hint="default"/>
        <w:lang w:val="zh-CN" w:eastAsia="zh-CN" w:bidi="zh-CN"/>
      </w:rPr>
    </w:lvl>
    <w:lvl w:ilvl="7">
      <w:start w:val="0"/>
      <w:numFmt w:val="bullet"/>
      <w:lvlText w:val="•"/>
      <w:lvlJc w:val="left"/>
      <w:pPr>
        <w:ind w:left="5088" w:hanging="361"/>
      </w:pPr>
      <w:rPr>
        <w:rFonts w:hint="default"/>
        <w:lang w:val="zh-CN" w:eastAsia="zh-CN" w:bidi="zh-CN"/>
      </w:rPr>
    </w:lvl>
    <w:lvl w:ilvl="8">
      <w:start w:val="0"/>
      <w:numFmt w:val="bullet"/>
      <w:lvlText w:val="•"/>
      <w:lvlJc w:val="left"/>
      <w:pPr>
        <w:ind w:left="5770" w:hanging="361"/>
      </w:pPr>
      <w:rPr>
        <w:rFonts w:hint="default"/>
        <w:lang w:val="zh-CN" w:eastAsia="zh-CN" w:bidi="zh-CN"/>
      </w:rPr>
    </w:lvl>
  </w:abstractNum>
  <w:abstractNum w:abstractNumId="4">
    <w:multiLevelType w:val="hybridMultilevel"/>
    <w:lvl w:ilvl="0">
      <w:start w:val="1"/>
      <w:numFmt w:val="decimal"/>
      <w:lvlText w:val="(%1)"/>
      <w:lvlJc w:val="left"/>
      <w:pPr>
        <w:ind w:left="320" w:hanging="361"/>
        <w:jc w:val="left"/>
      </w:pPr>
      <w:rPr>
        <w:rFonts w:hint="default" w:ascii="仿宋" w:hAnsi="仿宋" w:eastAsia="仿宋" w:cs="仿宋"/>
        <w:spacing w:val="-15"/>
        <w:w w:val="100"/>
        <w:sz w:val="22"/>
        <w:szCs w:val="22"/>
        <w:lang w:val="zh-CN" w:eastAsia="zh-CN" w:bidi="zh-CN"/>
      </w:rPr>
    </w:lvl>
    <w:lvl w:ilvl="1">
      <w:start w:val="0"/>
      <w:numFmt w:val="bullet"/>
      <w:lvlText w:val="•"/>
      <w:lvlJc w:val="left"/>
      <w:pPr>
        <w:ind w:left="1001" w:hanging="361"/>
      </w:pPr>
      <w:rPr>
        <w:rFonts w:hint="default"/>
        <w:lang w:val="zh-CN" w:eastAsia="zh-CN" w:bidi="zh-CN"/>
      </w:rPr>
    </w:lvl>
    <w:lvl w:ilvl="2">
      <w:start w:val="0"/>
      <w:numFmt w:val="bullet"/>
      <w:lvlText w:val="•"/>
      <w:lvlJc w:val="left"/>
      <w:pPr>
        <w:ind w:left="1682" w:hanging="361"/>
      </w:pPr>
      <w:rPr>
        <w:rFonts w:hint="default"/>
        <w:lang w:val="zh-CN" w:eastAsia="zh-CN" w:bidi="zh-CN"/>
      </w:rPr>
    </w:lvl>
    <w:lvl w:ilvl="3">
      <w:start w:val="0"/>
      <w:numFmt w:val="bullet"/>
      <w:lvlText w:val="•"/>
      <w:lvlJc w:val="left"/>
      <w:pPr>
        <w:ind w:left="2363" w:hanging="361"/>
      </w:pPr>
      <w:rPr>
        <w:rFonts w:hint="default"/>
        <w:lang w:val="zh-CN" w:eastAsia="zh-CN" w:bidi="zh-CN"/>
      </w:rPr>
    </w:lvl>
    <w:lvl w:ilvl="4">
      <w:start w:val="0"/>
      <w:numFmt w:val="bullet"/>
      <w:lvlText w:val="•"/>
      <w:lvlJc w:val="left"/>
      <w:pPr>
        <w:ind w:left="3045" w:hanging="361"/>
      </w:pPr>
      <w:rPr>
        <w:rFonts w:hint="default"/>
        <w:lang w:val="zh-CN" w:eastAsia="zh-CN" w:bidi="zh-CN"/>
      </w:rPr>
    </w:lvl>
    <w:lvl w:ilvl="5">
      <w:start w:val="0"/>
      <w:numFmt w:val="bullet"/>
      <w:lvlText w:val="•"/>
      <w:lvlJc w:val="left"/>
      <w:pPr>
        <w:ind w:left="3726" w:hanging="361"/>
      </w:pPr>
      <w:rPr>
        <w:rFonts w:hint="default"/>
        <w:lang w:val="zh-CN" w:eastAsia="zh-CN" w:bidi="zh-CN"/>
      </w:rPr>
    </w:lvl>
    <w:lvl w:ilvl="6">
      <w:start w:val="0"/>
      <w:numFmt w:val="bullet"/>
      <w:lvlText w:val="•"/>
      <w:lvlJc w:val="left"/>
      <w:pPr>
        <w:ind w:left="4407" w:hanging="361"/>
      </w:pPr>
      <w:rPr>
        <w:rFonts w:hint="default"/>
        <w:lang w:val="zh-CN" w:eastAsia="zh-CN" w:bidi="zh-CN"/>
      </w:rPr>
    </w:lvl>
    <w:lvl w:ilvl="7">
      <w:start w:val="0"/>
      <w:numFmt w:val="bullet"/>
      <w:lvlText w:val="•"/>
      <w:lvlJc w:val="left"/>
      <w:pPr>
        <w:ind w:left="5088" w:hanging="361"/>
      </w:pPr>
      <w:rPr>
        <w:rFonts w:hint="default"/>
        <w:lang w:val="zh-CN" w:eastAsia="zh-CN" w:bidi="zh-CN"/>
      </w:rPr>
    </w:lvl>
    <w:lvl w:ilvl="8">
      <w:start w:val="0"/>
      <w:numFmt w:val="bullet"/>
      <w:lvlText w:val="•"/>
      <w:lvlJc w:val="left"/>
      <w:pPr>
        <w:ind w:left="5770" w:hanging="361"/>
      </w:pPr>
      <w:rPr>
        <w:rFonts w:hint="default"/>
        <w:lang w:val="zh-CN" w:eastAsia="zh-CN" w:bidi="zh-CN"/>
      </w:rPr>
    </w:lvl>
  </w:abstractNum>
  <w:abstractNum w:abstractNumId="3">
    <w:multiLevelType w:val="hybridMultilevel"/>
    <w:lvl w:ilvl="0">
      <w:start w:val="8"/>
      <w:numFmt w:val="decimal"/>
      <w:lvlText w:val="(%1)"/>
      <w:lvlJc w:val="left"/>
      <w:pPr>
        <w:ind w:left="320" w:hanging="361"/>
        <w:jc w:val="left"/>
      </w:pPr>
      <w:rPr>
        <w:rFonts w:hint="default" w:ascii="仿宋" w:hAnsi="仿宋" w:eastAsia="仿宋" w:cs="仿宋"/>
        <w:spacing w:val="-17"/>
        <w:w w:val="100"/>
        <w:sz w:val="22"/>
        <w:szCs w:val="22"/>
        <w:lang w:val="zh-CN" w:eastAsia="zh-CN" w:bidi="zh-CN"/>
      </w:rPr>
    </w:lvl>
    <w:lvl w:ilvl="1">
      <w:start w:val="0"/>
      <w:numFmt w:val="bullet"/>
      <w:lvlText w:val="•"/>
      <w:lvlJc w:val="left"/>
      <w:pPr>
        <w:ind w:left="1001" w:hanging="361"/>
      </w:pPr>
      <w:rPr>
        <w:rFonts w:hint="default"/>
        <w:lang w:val="zh-CN" w:eastAsia="zh-CN" w:bidi="zh-CN"/>
      </w:rPr>
    </w:lvl>
    <w:lvl w:ilvl="2">
      <w:start w:val="0"/>
      <w:numFmt w:val="bullet"/>
      <w:lvlText w:val="•"/>
      <w:lvlJc w:val="left"/>
      <w:pPr>
        <w:ind w:left="1682" w:hanging="361"/>
      </w:pPr>
      <w:rPr>
        <w:rFonts w:hint="default"/>
        <w:lang w:val="zh-CN" w:eastAsia="zh-CN" w:bidi="zh-CN"/>
      </w:rPr>
    </w:lvl>
    <w:lvl w:ilvl="3">
      <w:start w:val="0"/>
      <w:numFmt w:val="bullet"/>
      <w:lvlText w:val="•"/>
      <w:lvlJc w:val="left"/>
      <w:pPr>
        <w:ind w:left="2363" w:hanging="361"/>
      </w:pPr>
      <w:rPr>
        <w:rFonts w:hint="default"/>
        <w:lang w:val="zh-CN" w:eastAsia="zh-CN" w:bidi="zh-CN"/>
      </w:rPr>
    </w:lvl>
    <w:lvl w:ilvl="4">
      <w:start w:val="0"/>
      <w:numFmt w:val="bullet"/>
      <w:lvlText w:val="•"/>
      <w:lvlJc w:val="left"/>
      <w:pPr>
        <w:ind w:left="3045" w:hanging="361"/>
      </w:pPr>
      <w:rPr>
        <w:rFonts w:hint="default"/>
        <w:lang w:val="zh-CN" w:eastAsia="zh-CN" w:bidi="zh-CN"/>
      </w:rPr>
    </w:lvl>
    <w:lvl w:ilvl="5">
      <w:start w:val="0"/>
      <w:numFmt w:val="bullet"/>
      <w:lvlText w:val="•"/>
      <w:lvlJc w:val="left"/>
      <w:pPr>
        <w:ind w:left="3726" w:hanging="361"/>
      </w:pPr>
      <w:rPr>
        <w:rFonts w:hint="default"/>
        <w:lang w:val="zh-CN" w:eastAsia="zh-CN" w:bidi="zh-CN"/>
      </w:rPr>
    </w:lvl>
    <w:lvl w:ilvl="6">
      <w:start w:val="0"/>
      <w:numFmt w:val="bullet"/>
      <w:lvlText w:val="•"/>
      <w:lvlJc w:val="left"/>
      <w:pPr>
        <w:ind w:left="4407" w:hanging="361"/>
      </w:pPr>
      <w:rPr>
        <w:rFonts w:hint="default"/>
        <w:lang w:val="zh-CN" w:eastAsia="zh-CN" w:bidi="zh-CN"/>
      </w:rPr>
    </w:lvl>
    <w:lvl w:ilvl="7">
      <w:start w:val="0"/>
      <w:numFmt w:val="bullet"/>
      <w:lvlText w:val="•"/>
      <w:lvlJc w:val="left"/>
      <w:pPr>
        <w:ind w:left="5088" w:hanging="361"/>
      </w:pPr>
      <w:rPr>
        <w:rFonts w:hint="default"/>
        <w:lang w:val="zh-CN" w:eastAsia="zh-CN" w:bidi="zh-CN"/>
      </w:rPr>
    </w:lvl>
    <w:lvl w:ilvl="8">
      <w:start w:val="0"/>
      <w:numFmt w:val="bullet"/>
      <w:lvlText w:val="•"/>
      <w:lvlJc w:val="left"/>
      <w:pPr>
        <w:ind w:left="5770" w:hanging="361"/>
      </w:pPr>
      <w:rPr>
        <w:rFonts w:hint="default"/>
        <w:lang w:val="zh-CN" w:eastAsia="zh-CN" w:bidi="zh-CN"/>
      </w:rPr>
    </w:lvl>
  </w:abstractNum>
  <w:abstractNum w:abstractNumId="2">
    <w:multiLevelType w:val="hybridMultilevel"/>
    <w:lvl w:ilvl="0">
      <w:start w:val="5"/>
      <w:numFmt w:val="decimal"/>
      <w:lvlText w:val="(%1)"/>
      <w:lvlJc w:val="left"/>
      <w:pPr>
        <w:ind w:left="320" w:hanging="361"/>
        <w:jc w:val="left"/>
      </w:pPr>
      <w:rPr>
        <w:rFonts w:hint="default" w:ascii="仿宋" w:hAnsi="仿宋" w:eastAsia="仿宋" w:cs="仿宋"/>
        <w:spacing w:val="-14"/>
        <w:w w:val="100"/>
        <w:sz w:val="22"/>
        <w:szCs w:val="22"/>
        <w:lang w:val="zh-CN" w:eastAsia="zh-CN" w:bidi="zh-CN"/>
      </w:rPr>
    </w:lvl>
    <w:lvl w:ilvl="1">
      <w:start w:val="0"/>
      <w:numFmt w:val="bullet"/>
      <w:lvlText w:val="•"/>
      <w:lvlJc w:val="left"/>
      <w:pPr>
        <w:ind w:left="1001" w:hanging="361"/>
      </w:pPr>
      <w:rPr>
        <w:rFonts w:hint="default"/>
        <w:lang w:val="zh-CN" w:eastAsia="zh-CN" w:bidi="zh-CN"/>
      </w:rPr>
    </w:lvl>
    <w:lvl w:ilvl="2">
      <w:start w:val="0"/>
      <w:numFmt w:val="bullet"/>
      <w:lvlText w:val="•"/>
      <w:lvlJc w:val="left"/>
      <w:pPr>
        <w:ind w:left="1682" w:hanging="361"/>
      </w:pPr>
      <w:rPr>
        <w:rFonts w:hint="default"/>
        <w:lang w:val="zh-CN" w:eastAsia="zh-CN" w:bidi="zh-CN"/>
      </w:rPr>
    </w:lvl>
    <w:lvl w:ilvl="3">
      <w:start w:val="0"/>
      <w:numFmt w:val="bullet"/>
      <w:lvlText w:val="•"/>
      <w:lvlJc w:val="left"/>
      <w:pPr>
        <w:ind w:left="2363" w:hanging="361"/>
      </w:pPr>
      <w:rPr>
        <w:rFonts w:hint="default"/>
        <w:lang w:val="zh-CN" w:eastAsia="zh-CN" w:bidi="zh-CN"/>
      </w:rPr>
    </w:lvl>
    <w:lvl w:ilvl="4">
      <w:start w:val="0"/>
      <w:numFmt w:val="bullet"/>
      <w:lvlText w:val="•"/>
      <w:lvlJc w:val="left"/>
      <w:pPr>
        <w:ind w:left="3045" w:hanging="361"/>
      </w:pPr>
      <w:rPr>
        <w:rFonts w:hint="default"/>
        <w:lang w:val="zh-CN" w:eastAsia="zh-CN" w:bidi="zh-CN"/>
      </w:rPr>
    </w:lvl>
    <w:lvl w:ilvl="5">
      <w:start w:val="0"/>
      <w:numFmt w:val="bullet"/>
      <w:lvlText w:val="•"/>
      <w:lvlJc w:val="left"/>
      <w:pPr>
        <w:ind w:left="3726" w:hanging="361"/>
      </w:pPr>
      <w:rPr>
        <w:rFonts w:hint="default"/>
        <w:lang w:val="zh-CN" w:eastAsia="zh-CN" w:bidi="zh-CN"/>
      </w:rPr>
    </w:lvl>
    <w:lvl w:ilvl="6">
      <w:start w:val="0"/>
      <w:numFmt w:val="bullet"/>
      <w:lvlText w:val="•"/>
      <w:lvlJc w:val="left"/>
      <w:pPr>
        <w:ind w:left="4407" w:hanging="361"/>
      </w:pPr>
      <w:rPr>
        <w:rFonts w:hint="default"/>
        <w:lang w:val="zh-CN" w:eastAsia="zh-CN" w:bidi="zh-CN"/>
      </w:rPr>
    </w:lvl>
    <w:lvl w:ilvl="7">
      <w:start w:val="0"/>
      <w:numFmt w:val="bullet"/>
      <w:lvlText w:val="•"/>
      <w:lvlJc w:val="left"/>
      <w:pPr>
        <w:ind w:left="5088" w:hanging="361"/>
      </w:pPr>
      <w:rPr>
        <w:rFonts w:hint="default"/>
        <w:lang w:val="zh-CN" w:eastAsia="zh-CN" w:bidi="zh-CN"/>
      </w:rPr>
    </w:lvl>
    <w:lvl w:ilvl="8">
      <w:start w:val="0"/>
      <w:numFmt w:val="bullet"/>
      <w:lvlText w:val="•"/>
      <w:lvlJc w:val="left"/>
      <w:pPr>
        <w:ind w:left="5770" w:hanging="361"/>
      </w:pPr>
      <w:rPr>
        <w:rFonts w:hint="default"/>
        <w:lang w:val="zh-CN" w:eastAsia="zh-CN" w:bidi="zh-CN"/>
      </w:rPr>
    </w:lvl>
  </w:abstractNum>
  <w:abstractNum w:abstractNumId="1">
    <w:multiLevelType w:val="hybridMultilevel"/>
    <w:lvl w:ilvl="0">
      <w:start w:val="1"/>
      <w:numFmt w:val="decimal"/>
      <w:lvlText w:val="(%1)"/>
      <w:lvlJc w:val="left"/>
      <w:pPr>
        <w:ind w:left="1161" w:hanging="361"/>
        <w:jc w:val="left"/>
      </w:pPr>
      <w:rPr>
        <w:rFonts w:hint="default" w:ascii="仿宋" w:hAnsi="仿宋" w:eastAsia="仿宋" w:cs="仿宋"/>
        <w:w w:val="100"/>
        <w:sz w:val="22"/>
        <w:szCs w:val="22"/>
        <w:lang w:val="zh-CN" w:eastAsia="zh-CN" w:bidi="zh-CN"/>
      </w:rPr>
    </w:lvl>
    <w:lvl w:ilvl="1">
      <w:start w:val="0"/>
      <w:numFmt w:val="bullet"/>
      <w:lvlText w:val="•"/>
      <w:lvlJc w:val="left"/>
      <w:pPr>
        <w:ind w:left="1757" w:hanging="361"/>
      </w:pPr>
      <w:rPr>
        <w:rFonts w:hint="default"/>
        <w:lang w:val="zh-CN" w:eastAsia="zh-CN" w:bidi="zh-CN"/>
      </w:rPr>
    </w:lvl>
    <w:lvl w:ilvl="2">
      <w:start w:val="0"/>
      <w:numFmt w:val="bullet"/>
      <w:lvlText w:val="•"/>
      <w:lvlJc w:val="left"/>
      <w:pPr>
        <w:ind w:left="2354" w:hanging="361"/>
      </w:pPr>
      <w:rPr>
        <w:rFonts w:hint="default"/>
        <w:lang w:val="zh-CN" w:eastAsia="zh-CN" w:bidi="zh-CN"/>
      </w:rPr>
    </w:lvl>
    <w:lvl w:ilvl="3">
      <w:start w:val="0"/>
      <w:numFmt w:val="bullet"/>
      <w:lvlText w:val="•"/>
      <w:lvlJc w:val="left"/>
      <w:pPr>
        <w:ind w:left="2951" w:hanging="361"/>
      </w:pPr>
      <w:rPr>
        <w:rFonts w:hint="default"/>
        <w:lang w:val="zh-CN" w:eastAsia="zh-CN" w:bidi="zh-CN"/>
      </w:rPr>
    </w:lvl>
    <w:lvl w:ilvl="4">
      <w:start w:val="0"/>
      <w:numFmt w:val="bullet"/>
      <w:lvlText w:val="•"/>
      <w:lvlJc w:val="left"/>
      <w:pPr>
        <w:ind w:left="3549" w:hanging="361"/>
      </w:pPr>
      <w:rPr>
        <w:rFonts w:hint="default"/>
        <w:lang w:val="zh-CN" w:eastAsia="zh-CN" w:bidi="zh-CN"/>
      </w:rPr>
    </w:lvl>
    <w:lvl w:ilvl="5">
      <w:start w:val="0"/>
      <w:numFmt w:val="bullet"/>
      <w:lvlText w:val="•"/>
      <w:lvlJc w:val="left"/>
      <w:pPr>
        <w:ind w:left="4146" w:hanging="361"/>
      </w:pPr>
      <w:rPr>
        <w:rFonts w:hint="default"/>
        <w:lang w:val="zh-CN" w:eastAsia="zh-CN" w:bidi="zh-CN"/>
      </w:rPr>
    </w:lvl>
    <w:lvl w:ilvl="6">
      <w:start w:val="0"/>
      <w:numFmt w:val="bullet"/>
      <w:lvlText w:val="•"/>
      <w:lvlJc w:val="left"/>
      <w:pPr>
        <w:ind w:left="4743" w:hanging="361"/>
      </w:pPr>
      <w:rPr>
        <w:rFonts w:hint="default"/>
        <w:lang w:val="zh-CN" w:eastAsia="zh-CN" w:bidi="zh-CN"/>
      </w:rPr>
    </w:lvl>
    <w:lvl w:ilvl="7">
      <w:start w:val="0"/>
      <w:numFmt w:val="bullet"/>
      <w:lvlText w:val="•"/>
      <w:lvlJc w:val="left"/>
      <w:pPr>
        <w:ind w:left="5340" w:hanging="361"/>
      </w:pPr>
      <w:rPr>
        <w:rFonts w:hint="default"/>
        <w:lang w:val="zh-CN" w:eastAsia="zh-CN" w:bidi="zh-CN"/>
      </w:rPr>
    </w:lvl>
    <w:lvl w:ilvl="8">
      <w:start w:val="0"/>
      <w:numFmt w:val="bullet"/>
      <w:lvlText w:val="•"/>
      <w:lvlJc w:val="left"/>
      <w:pPr>
        <w:ind w:left="5938" w:hanging="361"/>
      </w:pPr>
      <w:rPr>
        <w:rFonts w:hint="default"/>
        <w:lang w:val="zh-CN" w:eastAsia="zh-CN" w:bidi="zh-CN"/>
      </w:rPr>
    </w:lvl>
  </w:abstractNum>
  <w:abstractNum w:abstractNumId="0">
    <w:multiLevelType w:val="hybridMultilevel"/>
    <w:lvl w:ilvl="0">
      <w:start w:val="1"/>
      <w:numFmt w:val="decimal"/>
      <w:lvlText w:val="(%1)"/>
      <w:lvlJc w:val="left"/>
      <w:pPr>
        <w:ind w:left="320" w:hanging="361"/>
        <w:jc w:val="left"/>
      </w:pPr>
      <w:rPr>
        <w:rFonts w:hint="default" w:ascii="仿宋" w:hAnsi="仿宋" w:eastAsia="仿宋" w:cs="仿宋"/>
        <w:spacing w:val="-14"/>
        <w:w w:val="100"/>
        <w:sz w:val="22"/>
        <w:szCs w:val="22"/>
        <w:lang w:val="zh-CN" w:eastAsia="zh-CN" w:bidi="zh-CN"/>
      </w:rPr>
    </w:lvl>
    <w:lvl w:ilvl="1">
      <w:start w:val="0"/>
      <w:numFmt w:val="bullet"/>
      <w:lvlText w:val="•"/>
      <w:lvlJc w:val="left"/>
      <w:pPr>
        <w:ind w:left="1001" w:hanging="361"/>
      </w:pPr>
      <w:rPr>
        <w:rFonts w:hint="default"/>
        <w:lang w:val="zh-CN" w:eastAsia="zh-CN" w:bidi="zh-CN"/>
      </w:rPr>
    </w:lvl>
    <w:lvl w:ilvl="2">
      <w:start w:val="0"/>
      <w:numFmt w:val="bullet"/>
      <w:lvlText w:val="•"/>
      <w:lvlJc w:val="left"/>
      <w:pPr>
        <w:ind w:left="1682" w:hanging="361"/>
      </w:pPr>
      <w:rPr>
        <w:rFonts w:hint="default"/>
        <w:lang w:val="zh-CN" w:eastAsia="zh-CN" w:bidi="zh-CN"/>
      </w:rPr>
    </w:lvl>
    <w:lvl w:ilvl="3">
      <w:start w:val="0"/>
      <w:numFmt w:val="bullet"/>
      <w:lvlText w:val="•"/>
      <w:lvlJc w:val="left"/>
      <w:pPr>
        <w:ind w:left="2363" w:hanging="361"/>
      </w:pPr>
      <w:rPr>
        <w:rFonts w:hint="default"/>
        <w:lang w:val="zh-CN" w:eastAsia="zh-CN" w:bidi="zh-CN"/>
      </w:rPr>
    </w:lvl>
    <w:lvl w:ilvl="4">
      <w:start w:val="0"/>
      <w:numFmt w:val="bullet"/>
      <w:lvlText w:val="•"/>
      <w:lvlJc w:val="left"/>
      <w:pPr>
        <w:ind w:left="3045" w:hanging="361"/>
      </w:pPr>
      <w:rPr>
        <w:rFonts w:hint="default"/>
        <w:lang w:val="zh-CN" w:eastAsia="zh-CN" w:bidi="zh-CN"/>
      </w:rPr>
    </w:lvl>
    <w:lvl w:ilvl="5">
      <w:start w:val="0"/>
      <w:numFmt w:val="bullet"/>
      <w:lvlText w:val="•"/>
      <w:lvlJc w:val="left"/>
      <w:pPr>
        <w:ind w:left="3726" w:hanging="361"/>
      </w:pPr>
      <w:rPr>
        <w:rFonts w:hint="default"/>
        <w:lang w:val="zh-CN" w:eastAsia="zh-CN" w:bidi="zh-CN"/>
      </w:rPr>
    </w:lvl>
    <w:lvl w:ilvl="6">
      <w:start w:val="0"/>
      <w:numFmt w:val="bullet"/>
      <w:lvlText w:val="•"/>
      <w:lvlJc w:val="left"/>
      <w:pPr>
        <w:ind w:left="4407" w:hanging="361"/>
      </w:pPr>
      <w:rPr>
        <w:rFonts w:hint="default"/>
        <w:lang w:val="zh-CN" w:eastAsia="zh-CN" w:bidi="zh-CN"/>
      </w:rPr>
    </w:lvl>
    <w:lvl w:ilvl="7">
      <w:start w:val="0"/>
      <w:numFmt w:val="bullet"/>
      <w:lvlText w:val="•"/>
      <w:lvlJc w:val="left"/>
      <w:pPr>
        <w:ind w:left="5088" w:hanging="361"/>
      </w:pPr>
      <w:rPr>
        <w:rFonts w:hint="default"/>
        <w:lang w:val="zh-CN" w:eastAsia="zh-CN" w:bidi="zh-CN"/>
      </w:rPr>
    </w:lvl>
    <w:lvl w:ilvl="8">
      <w:start w:val="0"/>
      <w:numFmt w:val="bullet"/>
      <w:lvlText w:val="•"/>
      <w:lvlJc w:val="left"/>
      <w:pPr>
        <w:ind w:left="5770" w:hanging="361"/>
      </w:pPr>
      <w:rPr>
        <w:rFonts w:hint="default"/>
        <w:lang w:val="zh-CN" w:eastAsia="zh-CN" w:bidi="zh-CN"/>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TOC1" w:type="paragraph">
    <w:name w:val="TOC 1"/>
    <w:basedOn w:val="Normal"/>
    <w:uiPriority w:val="1"/>
    <w:qFormat/>
    <w:pPr>
      <w:spacing w:before="153"/>
      <w:ind w:left="320"/>
    </w:pPr>
    <w:rPr>
      <w:rFonts w:ascii="宋体" w:hAnsi="宋体" w:eastAsia="宋体" w:cs="宋体"/>
      <w:b/>
      <w:bCs/>
      <w:sz w:val="24"/>
      <w:szCs w:val="24"/>
      <w:lang w:val="zh-CN" w:eastAsia="zh-CN" w:bidi="zh-CN"/>
    </w:rPr>
  </w:style>
  <w:style w:styleId="TOC2" w:type="paragraph">
    <w:name w:val="TOC 2"/>
    <w:basedOn w:val="Normal"/>
    <w:uiPriority w:val="1"/>
    <w:qFormat/>
    <w:pPr>
      <w:spacing w:before="154"/>
      <w:ind w:left="320"/>
    </w:pPr>
    <w:rPr>
      <w:rFonts w:ascii="宋体" w:hAnsi="宋体" w:eastAsia="宋体" w:cs="宋体"/>
      <w:sz w:val="24"/>
      <w:szCs w:val="24"/>
      <w:lang w:val="zh-CN" w:eastAsia="zh-CN" w:bidi="zh-CN"/>
    </w:rPr>
  </w:style>
  <w:style w:styleId="TOC3" w:type="paragraph">
    <w:name w:val="TOC 3"/>
    <w:basedOn w:val="Normal"/>
    <w:uiPriority w:val="1"/>
    <w:qFormat/>
    <w:pPr>
      <w:spacing w:before="152"/>
      <w:ind w:left="380"/>
    </w:pPr>
    <w:rPr>
      <w:rFonts w:ascii="宋体" w:hAnsi="宋体" w:eastAsia="宋体" w:cs="宋体"/>
      <w:sz w:val="24"/>
      <w:szCs w:val="24"/>
      <w:lang w:val="zh-CN" w:eastAsia="zh-CN" w:bidi="zh-CN"/>
    </w:rPr>
  </w:style>
  <w:style w:styleId="TOC4" w:type="paragraph">
    <w:name w:val="TOC 4"/>
    <w:basedOn w:val="Normal"/>
    <w:uiPriority w:val="1"/>
    <w:qFormat/>
    <w:pPr>
      <w:spacing w:before="154"/>
      <w:ind w:left="800"/>
    </w:pPr>
    <w:rPr>
      <w:rFonts w:ascii="宋体" w:hAnsi="宋体" w:eastAsia="宋体" w:cs="宋体"/>
      <w:sz w:val="24"/>
      <w:szCs w:val="24"/>
      <w:lang w:val="zh-CN" w:eastAsia="zh-CN" w:bidi="zh-CN"/>
    </w:rPr>
  </w:style>
  <w:style w:styleId="TOC5" w:type="paragraph">
    <w:name w:val="TOC 5"/>
    <w:basedOn w:val="Normal"/>
    <w:uiPriority w:val="1"/>
    <w:qFormat/>
    <w:pPr>
      <w:spacing w:before="153"/>
      <w:ind w:left="860"/>
    </w:pPr>
    <w:rPr>
      <w:rFonts w:ascii="宋体" w:hAnsi="宋体" w:eastAsia="宋体" w:cs="宋体"/>
      <w:sz w:val="24"/>
      <w:szCs w:val="24"/>
      <w:lang w:val="zh-CN" w:eastAsia="zh-CN" w:bidi="zh-CN"/>
    </w:rPr>
  </w:style>
  <w:style w:styleId="BodyText" w:type="paragraph">
    <w:name w:val="Body Text"/>
    <w:basedOn w:val="Normal"/>
    <w:uiPriority w:val="1"/>
    <w:qFormat/>
    <w:pPr>
      <w:ind w:left="200"/>
    </w:pPr>
    <w:rPr>
      <w:rFonts w:ascii="仿宋" w:hAnsi="仿宋" w:eastAsia="仿宋" w:cs="仿宋"/>
      <w:sz w:val="24"/>
      <w:szCs w:val="24"/>
      <w:lang w:val="zh-CN" w:eastAsia="zh-CN" w:bidi="zh-CN"/>
    </w:rPr>
  </w:style>
  <w:style w:styleId="Heading1" w:type="paragraph">
    <w:name w:val="Heading 1"/>
    <w:basedOn w:val="Normal"/>
    <w:uiPriority w:val="1"/>
    <w:qFormat/>
    <w:pPr>
      <w:spacing w:before="58"/>
      <w:ind w:left="3255"/>
      <w:jc w:val="center"/>
      <w:outlineLvl w:val="1"/>
    </w:pPr>
    <w:rPr>
      <w:rFonts w:ascii="黑体" w:hAnsi="黑体" w:eastAsia="黑体" w:cs="黑体"/>
      <w:sz w:val="30"/>
      <w:szCs w:val="30"/>
      <w:lang w:val="zh-CN" w:eastAsia="zh-CN" w:bidi="zh-CN"/>
    </w:rPr>
  </w:style>
  <w:style w:styleId="Heading2" w:type="paragraph">
    <w:name w:val="Heading 2"/>
    <w:basedOn w:val="Normal"/>
    <w:uiPriority w:val="1"/>
    <w:qFormat/>
    <w:pPr>
      <w:jc w:val="center"/>
      <w:outlineLvl w:val="2"/>
    </w:pPr>
    <w:rPr>
      <w:rFonts w:ascii="仿宋" w:hAnsi="仿宋" w:eastAsia="仿宋" w:cs="仿宋"/>
      <w:b/>
      <w:bCs/>
      <w:sz w:val="28"/>
      <w:szCs w:val="28"/>
      <w:lang w:val="zh-CN" w:eastAsia="zh-CN" w:bidi="zh-CN"/>
    </w:rPr>
  </w:style>
  <w:style w:styleId="Heading3" w:type="paragraph">
    <w:name w:val="Heading 3"/>
    <w:basedOn w:val="Normal"/>
    <w:uiPriority w:val="1"/>
    <w:qFormat/>
    <w:pPr>
      <w:ind w:left="802"/>
      <w:outlineLvl w:val="3"/>
    </w:pPr>
    <w:rPr>
      <w:rFonts w:ascii="Microsoft JhengHei" w:hAnsi="Microsoft JhengHei" w:eastAsia="Microsoft JhengHei" w:cs="Microsoft JhengHei"/>
      <w:b/>
      <w:bCs/>
      <w:sz w:val="24"/>
      <w:szCs w:val="24"/>
      <w:lang w:val="zh-CN" w:eastAsia="zh-CN" w:bidi="zh-CN"/>
    </w:rPr>
  </w:style>
  <w:style w:styleId="ListParagraph" w:type="paragraph">
    <w:name w:val="List Paragraph"/>
    <w:basedOn w:val="Normal"/>
    <w:uiPriority w:val="1"/>
    <w:qFormat/>
    <w:pPr>
      <w:ind w:left="320" w:firstLine="480"/>
    </w:pPr>
    <w:rPr>
      <w:rFonts w:ascii="仿宋" w:hAnsi="仿宋" w:eastAsia="仿宋" w:cs="仿宋"/>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footer" Target="footer3.xml"/><Relationship Id="rId29" Type="http://schemas.openxmlformats.org/officeDocument/2006/relationships/footer" Target="footer4.xml"/><Relationship Id="rId30" Type="http://schemas.openxmlformats.org/officeDocument/2006/relationships/footer" Target="footer5.xml"/><Relationship Id="rId31" Type="http://schemas.openxmlformats.org/officeDocument/2006/relationships/footer" Target="footer6.xml"/><Relationship Id="rId32" Type="http://schemas.openxmlformats.org/officeDocument/2006/relationships/footer" Target="footer7.xml"/><Relationship Id="rId33" Type="http://schemas.openxmlformats.org/officeDocument/2006/relationships/footer" Target="footer8.xml"/><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image" Target="media/image22.jpe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footer" Target="footer11.xml"/><Relationship Id="rId44" Type="http://schemas.openxmlformats.org/officeDocument/2006/relationships/image" Target="media/image29.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A茶茶</dc:creator>
  <dcterms:created xsi:type="dcterms:W3CDTF">2023-07-19T06:32:48Z</dcterms:created>
  <dcterms:modified xsi:type="dcterms:W3CDTF">2023-07-19T06:32:48Z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Microsoft® Word 2010</vt:lpwstr>
  </property>
  <property fmtid="{D5CDD505-2E9C-101B-9397-08002B2CF9AE}" pid="4" name="LastSaved">
    <vt:filetime>2023-07-19T00:00:00Z</vt:filetime>
  </property>
</Properties>
</file>