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32494">
      <w:pPr>
        <w:rPr>
          <w:rFonts w:hint="eastAsia" w:ascii="宋体" w:hAnsi="宋体" w:eastAsia="宋体" w:cs="宋体"/>
          <w:b w:val="0"/>
          <w:bCs w:val="0"/>
          <w:color w:val="auto"/>
          <w:sz w:val="21"/>
          <w:szCs w:val="21"/>
          <w:lang w:eastAsia="zh-CN"/>
        </w:rPr>
      </w:pPr>
    </w:p>
    <w:p w14:paraId="2547F03E">
      <w:pPr>
        <w:jc w:val="center"/>
        <w:rPr>
          <w:rFonts w:hint="default" w:ascii="宋体" w:hAnsi="宋体" w:eastAsia="宋体" w:cs="宋体"/>
          <w:b/>
          <w:bCs/>
          <w:strike w:val="0"/>
          <w:dstrike w:val="0"/>
          <w:color w:val="auto"/>
          <w:sz w:val="36"/>
          <w:szCs w:val="36"/>
          <w:u w:val="none"/>
          <w:lang w:val="en-US" w:eastAsia="zh-CN"/>
        </w:rPr>
      </w:pPr>
      <w:r>
        <w:rPr>
          <w:rFonts w:hint="eastAsia" w:ascii="宋体" w:hAnsi="宋体" w:eastAsia="宋体" w:cs="宋体"/>
          <w:b/>
          <w:bCs/>
          <w:strike w:val="0"/>
          <w:dstrike w:val="0"/>
          <w:color w:val="auto"/>
          <w:sz w:val="36"/>
          <w:szCs w:val="36"/>
          <w:u w:val="none"/>
          <w:lang w:val="en-US" w:eastAsia="zh-CN"/>
        </w:rPr>
        <w:t>维保部执业人员综合能力考评试卷</w:t>
      </w:r>
    </w:p>
    <w:p w14:paraId="1055539F">
      <w:pPr>
        <w:rPr>
          <w:rFonts w:hint="default" w:ascii="宋体" w:hAnsi="宋体" w:eastAsia="宋体" w:cs="宋体"/>
          <w:b/>
          <w:bCs/>
          <w:strike w:val="0"/>
          <w:dstrike w:val="0"/>
          <w:color w:val="auto"/>
          <w:sz w:val="21"/>
          <w:szCs w:val="21"/>
          <w:u w:val="single"/>
          <w:lang w:val="en-US" w:eastAsia="zh-CN"/>
        </w:rPr>
      </w:pPr>
      <w:r>
        <w:rPr>
          <w:rFonts w:hint="eastAsia" w:ascii="宋体" w:hAnsi="宋体" w:eastAsia="宋体" w:cs="宋体"/>
          <w:b/>
          <w:bCs/>
          <w:strike w:val="0"/>
          <w:dstrike w:val="0"/>
          <w:color w:val="auto"/>
          <w:sz w:val="21"/>
          <w:szCs w:val="21"/>
          <w:u w:val="single"/>
          <w:lang w:val="en-US" w:eastAsia="zh-CN"/>
        </w:rPr>
        <w:t xml:space="preserve">1-4题，选择题 合计24分                                                       </w:t>
      </w:r>
    </w:p>
    <w:p w14:paraId="74A3CE2C">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1、（多选题，</w:t>
      </w:r>
      <w:r>
        <w:rPr>
          <w:rFonts w:hint="eastAsia" w:ascii="宋体" w:hAnsi="宋体" w:eastAsia="宋体" w:cs="宋体"/>
          <w:b/>
          <w:bCs/>
          <w:strike/>
          <w:dstrike w:val="0"/>
          <w:color w:val="auto"/>
          <w:sz w:val="21"/>
          <w:szCs w:val="21"/>
          <w:lang w:val="en-US" w:eastAsia="zh-CN"/>
        </w:rPr>
        <w:t>5分</w:t>
      </w:r>
      <w:r>
        <w:rPr>
          <w:rFonts w:hint="eastAsia" w:ascii="宋体" w:hAnsi="宋体" w:eastAsia="宋体" w:cs="宋体"/>
          <w:b w:val="0"/>
          <w:bCs w:val="0"/>
          <w:color w:val="auto"/>
          <w:sz w:val="21"/>
          <w:szCs w:val="21"/>
          <w:lang w:val="en-US" w:eastAsia="zh-CN"/>
        </w:rPr>
        <w:t>多选不得分）《消防法》第六十条第二款：</w:t>
      </w:r>
      <w:r>
        <w:rPr>
          <w:rFonts w:hint="eastAsia" w:ascii="宋体" w:hAnsi="宋体" w:eastAsia="宋体" w:cs="宋体"/>
          <w:b w:val="0"/>
          <w:bCs w:val="0"/>
          <w:color w:val="auto"/>
          <w:sz w:val="21"/>
          <w:szCs w:val="21"/>
          <w:lang w:eastAsia="zh-CN"/>
        </w:rPr>
        <w:t>损坏、挪用或者擅自拆除、停用消防设施、器材的；</w:t>
      </w:r>
      <w:r>
        <w:rPr>
          <w:rFonts w:hint="eastAsia" w:ascii="宋体" w:hAnsi="宋体" w:eastAsia="宋体" w:cs="宋体"/>
          <w:b w:val="0"/>
          <w:bCs w:val="0"/>
          <w:color w:val="auto"/>
          <w:sz w:val="21"/>
          <w:szCs w:val="21"/>
          <w:lang w:val="en-US" w:eastAsia="zh-CN"/>
        </w:rPr>
        <w:t>以下哪些处罚是正确的？（打勾）</w:t>
      </w:r>
    </w:p>
    <w:p w14:paraId="759C1ADD">
      <w:pPr>
        <w:numPr>
          <w:ilvl w:val="0"/>
          <w:numId w:val="1"/>
        </w:numPr>
        <w:ind w:left="0" w:leftChars="0"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单位处罚：5000元-50000元</w:t>
      </w:r>
    </w:p>
    <w:p w14:paraId="02BB6D2D">
      <w:pPr>
        <w:numPr>
          <w:ilvl w:val="0"/>
          <w:numId w:val="1"/>
        </w:numPr>
        <w:ind w:left="0" w:leftChars="0"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个人处罚：对个人处以警告或500元以下罚款。</w:t>
      </w:r>
    </w:p>
    <w:p w14:paraId="14A6C593">
      <w:pPr>
        <w:numPr>
          <w:ilvl w:val="0"/>
          <w:numId w:val="1"/>
        </w:numPr>
        <w:ind w:left="0" w:leftChars="0"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对个人处10日以上15日以下拘留，</w:t>
      </w:r>
    </w:p>
    <w:p w14:paraId="796B3F45">
      <w:pPr>
        <w:numPr>
          <w:ilvl w:val="0"/>
          <w:numId w:val="1"/>
        </w:numPr>
        <w:ind w:left="0" w:leftChars="0"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给他人造成损失的，依法承担赔偿责任；</w:t>
      </w:r>
    </w:p>
    <w:p w14:paraId="63422E74">
      <w:pPr>
        <w:numPr>
          <w:ilvl w:val="0"/>
          <w:numId w:val="1"/>
        </w:numPr>
        <w:ind w:left="0" w:leftChars="0"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需根据事故灾害的程度承担相应的刑事责任；</w:t>
      </w:r>
    </w:p>
    <w:p w14:paraId="6CE260D1">
      <w:pPr>
        <w:numPr>
          <w:ilvl w:val="0"/>
          <w:numId w:val="1"/>
        </w:numPr>
        <w:ind w:left="0" w:leftChars="0"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个人行业从业资格证书被吊销，三年内不得再执业。</w:t>
      </w:r>
    </w:p>
    <w:p w14:paraId="7D955534">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多选题9分）K消防服务技术机构李某在7月份未对现场做检测时直接出具消防检测报告，陈某8月在发现现场设备功能失效的情况下出具的报告体现该设备功能正常。那么K公司、李某、陈某都应该有哪些惩罚？请在对应的位置上打勾</w:t>
      </w:r>
    </w:p>
    <w:tbl>
      <w:tblPr>
        <w:tblStyle w:val="6"/>
        <w:tblW w:w="7587"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0"/>
        <w:gridCol w:w="837"/>
        <w:gridCol w:w="925"/>
        <w:gridCol w:w="675"/>
      </w:tblGrid>
      <w:tr w14:paraId="372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13C9FF14">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837" w:type="dxa"/>
            <w:vAlign w:val="center"/>
          </w:tcPr>
          <w:p w14:paraId="06639007">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K公司</w:t>
            </w:r>
          </w:p>
        </w:tc>
        <w:tc>
          <w:tcPr>
            <w:tcW w:w="925" w:type="dxa"/>
            <w:vAlign w:val="center"/>
          </w:tcPr>
          <w:p w14:paraId="4AEB345A">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李某</w:t>
            </w:r>
          </w:p>
        </w:tc>
        <w:tc>
          <w:tcPr>
            <w:tcW w:w="675" w:type="dxa"/>
            <w:vAlign w:val="center"/>
          </w:tcPr>
          <w:p w14:paraId="2F8C3D21">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陈某</w:t>
            </w:r>
          </w:p>
        </w:tc>
      </w:tr>
      <w:tr w14:paraId="75B4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7BABDE53">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处罚</w:t>
            </w:r>
            <w:r>
              <w:rPr>
                <w:rFonts w:hint="eastAsia" w:ascii="宋体" w:hAnsi="宋体" w:eastAsia="宋体" w:cs="宋体"/>
                <w:b w:val="0"/>
                <w:bCs w:val="0"/>
                <w:color w:val="auto"/>
                <w:sz w:val="21"/>
                <w:szCs w:val="21"/>
                <w:lang w:val="en-US" w:eastAsia="zh-CN"/>
              </w:rPr>
              <w:t>50000元-100000元</w:t>
            </w:r>
          </w:p>
        </w:tc>
        <w:tc>
          <w:tcPr>
            <w:tcW w:w="837" w:type="dxa"/>
            <w:vAlign w:val="center"/>
          </w:tcPr>
          <w:p w14:paraId="6B48185F">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00A09136">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62937943">
            <w:pPr>
              <w:numPr>
                <w:ilvl w:val="0"/>
                <w:numId w:val="0"/>
              </w:numPr>
              <w:jc w:val="both"/>
              <w:rPr>
                <w:rFonts w:hint="eastAsia" w:ascii="宋体" w:hAnsi="宋体" w:eastAsia="宋体" w:cs="宋体"/>
                <w:b w:val="0"/>
                <w:bCs w:val="0"/>
                <w:color w:val="auto"/>
                <w:sz w:val="21"/>
                <w:szCs w:val="21"/>
                <w:vertAlign w:val="baseline"/>
                <w:lang w:val="en-US" w:eastAsia="zh-CN"/>
              </w:rPr>
            </w:pPr>
          </w:p>
        </w:tc>
      </w:tr>
      <w:tr w14:paraId="4927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0D1B2316">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处罚</w:t>
            </w:r>
            <w:r>
              <w:rPr>
                <w:rFonts w:hint="eastAsia" w:ascii="宋体" w:hAnsi="宋体" w:eastAsia="宋体" w:cs="宋体"/>
                <w:b w:val="0"/>
                <w:bCs w:val="0"/>
                <w:color w:val="auto"/>
                <w:sz w:val="21"/>
                <w:szCs w:val="21"/>
                <w:lang w:val="en-US" w:eastAsia="zh-CN"/>
              </w:rPr>
              <w:t>10000元-50000元</w:t>
            </w:r>
          </w:p>
        </w:tc>
        <w:tc>
          <w:tcPr>
            <w:tcW w:w="837" w:type="dxa"/>
            <w:vAlign w:val="center"/>
          </w:tcPr>
          <w:p w14:paraId="254F41B5">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12A63754">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445EB7F1">
            <w:pPr>
              <w:numPr>
                <w:ilvl w:val="0"/>
                <w:numId w:val="0"/>
              </w:numPr>
              <w:jc w:val="both"/>
              <w:rPr>
                <w:rFonts w:hint="eastAsia" w:ascii="宋体" w:hAnsi="宋体" w:eastAsia="宋体" w:cs="宋体"/>
                <w:b w:val="0"/>
                <w:bCs w:val="0"/>
                <w:color w:val="auto"/>
                <w:sz w:val="21"/>
                <w:szCs w:val="21"/>
                <w:vertAlign w:val="baseline"/>
                <w:lang w:val="en-US" w:eastAsia="zh-CN"/>
              </w:rPr>
            </w:pPr>
          </w:p>
        </w:tc>
      </w:tr>
      <w:tr w14:paraId="776A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792C8098">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eastAsia="zh-CN"/>
              </w:rPr>
              <w:t>对个人处10日以上15日以下拘留</w:t>
            </w:r>
          </w:p>
        </w:tc>
        <w:tc>
          <w:tcPr>
            <w:tcW w:w="837" w:type="dxa"/>
            <w:vAlign w:val="center"/>
          </w:tcPr>
          <w:p w14:paraId="5D96180A">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3BBFCCA3">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38843664">
            <w:pPr>
              <w:numPr>
                <w:ilvl w:val="0"/>
                <w:numId w:val="0"/>
              </w:numPr>
              <w:jc w:val="both"/>
              <w:rPr>
                <w:rFonts w:hint="eastAsia" w:ascii="宋体" w:hAnsi="宋体" w:eastAsia="宋体" w:cs="宋体"/>
                <w:b w:val="0"/>
                <w:bCs w:val="0"/>
                <w:color w:val="auto"/>
                <w:sz w:val="21"/>
                <w:szCs w:val="21"/>
                <w:vertAlign w:val="baseline"/>
                <w:lang w:val="en-US" w:eastAsia="zh-CN"/>
              </w:rPr>
            </w:pPr>
          </w:p>
        </w:tc>
      </w:tr>
      <w:tr w14:paraId="2D85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7AC0D0B6">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eastAsia="zh-CN"/>
              </w:rPr>
              <w:t>给他人造成损失的，依法承担赔偿责任</w:t>
            </w:r>
          </w:p>
        </w:tc>
        <w:tc>
          <w:tcPr>
            <w:tcW w:w="837" w:type="dxa"/>
            <w:vAlign w:val="center"/>
          </w:tcPr>
          <w:p w14:paraId="5C799DD0">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1E0E9B23">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17B57D6B">
            <w:pPr>
              <w:numPr>
                <w:ilvl w:val="0"/>
                <w:numId w:val="0"/>
              </w:numPr>
              <w:jc w:val="both"/>
              <w:rPr>
                <w:rFonts w:hint="eastAsia" w:ascii="宋体" w:hAnsi="宋体" w:eastAsia="宋体" w:cs="宋体"/>
                <w:b w:val="0"/>
                <w:bCs w:val="0"/>
                <w:color w:val="auto"/>
                <w:sz w:val="21"/>
                <w:szCs w:val="21"/>
                <w:vertAlign w:val="baseline"/>
                <w:lang w:val="en-US" w:eastAsia="zh-CN"/>
              </w:rPr>
            </w:pPr>
          </w:p>
        </w:tc>
      </w:tr>
      <w:tr w14:paraId="3552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3C82FDD9">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需根据事故灾害的程度承担相应的刑事责任</w:t>
            </w:r>
          </w:p>
        </w:tc>
        <w:tc>
          <w:tcPr>
            <w:tcW w:w="837" w:type="dxa"/>
            <w:vAlign w:val="center"/>
          </w:tcPr>
          <w:p w14:paraId="59888768">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7E6FD4DD">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25E7AF5F">
            <w:pPr>
              <w:numPr>
                <w:ilvl w:val="0"/>
                <w:numId w:val="0"/>
              </w:numPr>
              <w:jc w:val="both"/>
              <w:rPr>
                <w:rFonts w:hint="eastAsia" w:ascii="宋体" w:hAnsi="宋体" w:eastAsia="宋体" w:cs="宋体"/>
                <w:b w:val="0"/>
                <w:bCs w:val="0"/>
                <w:color w:val="auto"/>
                <w:sz w:val="21"/>
                <w:szCs w:val="21"/>
                <w:vertAlign w:val="baseline"/>
                <w:lang w:val="en-US" w:eastAsia="zh-CN"/>
              </w:rPr>
            </w:pPr>
          </w:p>
        </w:tc>
      </w:tr>
      <w:tr w14:paraId="264A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3A294924">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个人行业从业资格证书被吊销，三年内不得再执业</w:t>
            </w:r>
          </w:p>
        </w:tc>
        <w:tc>
          <w:tcPr>
            <w:tcW w:w="837" w:type="dxa"/>
            <w:vAlign w:val="center"/>
          </w:tcPr>
          <w:p w14:paraId="4C060FC2">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4B263301">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6DCCB547">
            <w:pPr>
              <w:numPr>
                <w:ilvl w:val="0"/>
                <w:numId w:val="0"/>
              </w:numPr>
              <w:jc w:val="both"/>
              <w:rPr>
                <w:rFonts w:hint="eastAsia" w:ascii="宋体" w:hAnsi="宋体" w:eastAsia="宋体" w:cs="宋体"/>
                <w:b w:val="0"/>
                <w:bCs w:val="0"/>
                <w:color w:val="auto"/>
                <w:sz w:val="21"/>
                <w:szCs w:val="21"/>
                <w:vertAlign w:val="baseline"/>
                <w:lang w:val="en-US" w:eastAsia="zh-CN"/>
              </w:rPr>
            </w:pPr>
          </w:p>
        </w:tc>
      </w:tr>
      <w:tr w14:paraId="1194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vAlign w:val="center"/>
          </w:tcPr>
          <w:p w14:paraId="1E4C85BF">
            <w:pPr>
              <w:numPr>
                <w:ilvl w:val="0"/>
                <w:numId w:val="0"/>
              </w:num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机构营业执照被吊销</w:t>
            </w:r>
          </w:p>
        </w:tc>
        <w:tc>
          <w:tcPr>
            <w:tcW w:w="837" w:type="dxa"/>
            <w:vAlign w:val="center"/>
          </w:tcPr>
          <w:p w14:paraId="3CA8C908">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925" w:type="dxa"/>
            <w:vAlign w:val="center"/>
          </w:tcPr>
          <w:p w14:paraId="053F78D9">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675" w:type="dxa"/>
            <w:vAlign w:val="center"/>
          </w:tcPr>
          <w:p w14:paraId="17A08648">
            <w:pPr>
              <w:numPr>
                <w:ilvl w:val="0"/>
                <w:numId w:val="0"/>
              </w:numPr>
              <w:jc w:val="both"/>
              <w:rPr>
                <w:rFonts w:hint="eastAsia" w:ascii="宋体" w:hAnsi="宋体" w:eastAsia="宋体" w:cs="宋体"/>
                <w:b w:val="0"/>
                <w:bCs w:val="0"/>
                <w:color w:val="auto"/>
                <w:sz w:val="21"/>
                <w:szCs w:val="21"/>
                <w:vertAlign w:val="baseline"/>
                <w:lang w:val="en-US" w:eastAsia="zh-CN"/>
              </w:rPr>
            </w:pPr>
          </w:p>
        </w:tc>
      </w:tr>
    </w:tbl>
    <w:p w14:paraId="2A17E6C4">
      <w:pPr>
        <w:keepNext w:val="0"/>
        <w:keepLines w:val="0"/>
        <w:pageBreakBefore w:val="0"/>
        <w:widowControl w:val="0"/>
        <w:numPr>
          <w:ilvl w:val="0"/>
          <w:numId w:val="0"/>
        </w:numPr>
        <w:kinsoku/>
        <w:wordWrap/>
        <w:overflowPunct/>
        <w:topLinePunct w:val="0"/>
        <w:autoSpaceDE/>
        <w:autoSpaceDN/>
        <w:bidi w:val="0"/>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3、（单选题</w:t>
      </w:r>
      <w:r>
        <w:rPr>
          <w:rFonts w:hint="eastAsia" w:ascii="宋体" w:hAnsi="宋体" w:eastAsia="宋体" w:cs="宋体"/>
          <w:b/>
          <w:bCs/>
          <w:strike/>
          <w:dstrike w:val="0"/>
          <w:color w:val="auto"/>
          <w:sz w:val="21"/>
          <w:szCs w:val="21"/>
          <w:lang w:val="en-US" w:eastAsia="zh-CN"/>
        </w:rPr>
        <w:t>5分</w:t>
      </w:r>
      <w:r>
        <w:rPr>
          <w:rFonts w:hint="eastAsia" w:ascii="宋体" w:hAnsi="宋体" w:eastAsia="宋体" w:cs="宋体"/>
          <w:b w:val="0"/>
          <w:bCs w:val="0"/>
          <w:color w:val="auto"/>
          <w:sz w:val="21"/>
          <w:szCs w:val="21"/>
          <w:lang w:val="en-US" w:eastAsia="zh-CN"/>
        </w:rPr>
        <w:t>）按照平时常规环境（中危I级写字楼）下，喷淋头安装间距一般为直径</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米，喷淋头最大保护面积为</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平方；</w:t>
      </w:r>
    </w:p>
    <w:p w14:paraId="4A20B6E6">
      <w:pPr>
        <w:keepNext w:val="0"/>
        <w:keepLines w:val="0"/>
        <w:pageBreakBefore w:val="0"/>
        <w:widowControl w:val="0"/>
        <w:numPr>
          <w:ilvl w:val="0"/>
          <w:numId w:val="0"/>
        </w:numPr>
        <w:kinsoku/>
        <w:wordWrap/>
        <w:overflowPunct/>
        <w:topLinePunct w:val="0"/>
        <w:autoSpaceDE/>
        <w:autoSpaceDN/>
        <w:bidi w:val="0"/>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A. 4.8m，16㎡   </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B. 2.8m，12.5㎡   C. 3.8m，16㎡   D. 3.6m，12.5㎡</w:t>
      </w:r>
    </w:p>
    <w:p w14:paraId="3FCA76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4、（选择题，</w:t>
      </w:r>
      <w:r>
        <w:rPr>
          <w:rFonts w:hint="eastAsia" w:ascii="宋体" w:hAnsi="宋体" w:eastAsia="宋体" w:cs="宋体"/>
          <w:b/>
          <w:bCs/>
          <w:strike/>
          <w:dstrike w:val="0"/>
          <w:color w:val="auto"/>
          <w:sz w:val="21"/>
          <w:szCs w:val="21"/>
          <w:lang w:val="en-US" w:eastAsia="zh-CN"/>
        </w:rPr>
        <w:t>5分</w:t>
      </w:r>
      <w:r>
        <w:rPr>
          <w:rFonts w:hint="eastAsia" w:ascii="宋体" w:hAnsi="宋体" w:eastAsia="宋体" w:cs="宋体"/>
          <w:b w:val="0"/>
          <w:bCs w:val="0"/>
          <w:color w:val="auto"/>
          <w:sz w:val="21"/>
          <w:szCs w:val="21"/>
          <w:lang w:val="en-US" w:eastAsia="zh-CN"/>
        </w:rPr>
        <w:t>多选不得分）按照维保的常规项目（消防主管走地下室顶板，消防水池与高位水箱无溢流），消防管网漏水量超15T/d以上的管网渗漏点最有可能会是什么原因?</w:t>
      </w:r>
    </w:p>
    <w:p w14:paraId="527DA05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A系统管网泄压阀整定值设定过低  B室内消火栓用来洗拖把洗地   </w:t>
      </w:r>
    </w:p>
    <w:p w14:paraId="0A8A76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C高位水箱出水管止回阀损坏      D水泵接合器止回阀损坏    E部分预埋管网渗漏    </w:t>
      </w:r>
    </w:p>
    <w:p w14:paraId="3A5E12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F室外消火栓用来给绿植浇水      G消防泵吸收口倒灌        H稳压泵止回阀损坏</w:t>
      </w:r>
    </w:p>
    <w:p w14:paraId="3E51BFDD">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default" w:ascii="宋体" w:hAnsi="宋体" w:eastAsia="宋体" w:cs="宋体"/>
          <w:b/>
          <w:bCs/>
          <w:strike w:val="0"/>
          <w:dstrike w:val="0"/>
          <w:sz w:val="21"/>
          <w:szCs w:val="21"/>
          <w:u w:val="single"/>
          <w:lang w:val="en-US" w:eastAsia="zh-CN"/>
        </w:rPr>
      </w:pPr>
      <w:r>
        <w:rPr>
          <w:rFonts w:hint="eastAsia" w:ascii="宋体" w:hAnsi="宋体" w:eastAsia="宋体" w:cs="宋体"/>
          <w:b/>
          <w:bCs/>
          <w:strike w:val="0"/>
          <w:dstrike w:val="0"/>
          <w:sz w:val="21"/>
          <w:szCs w:val="21"/>
          <w:u w:val="single"/>
          <w:lang w:val="en-US" w:eastAsia="zh-CN"/>
        </w:rPr>
        <w:t xml:space="preserve">5-26题，判断题 各2分 合计42分                                                   </w:t>
      </w:r>
    </w:p>
    <w:p w14:paraId="28041023">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rPr>
        <w:t>在</w:t>
      </w:r>
      <w:r>
        <w:rPr>
          <w:rFonts w:hint="eastAsia" w:ascii="宋体" w:hAnsi="宋体" w:eastAsia="宋体" w:cs="宋体"/>
          <w:sz w:val="21"/>
          <w:szCs w:val="21"/>
          <w:lang w:val="en-US" w:eastAsia="zh-CN"/>
        </w:rPr>
        <w:t>喷淋末端</w:t>
      </w:r>
      <w:r>
        <w:rPr>
          <w:rFonts w:hint="eastAsia" w:ascii="宋体" w:hAnsi="宋体" w:eastAsia="宋体" w:cs="宋体"/>
          <w:sz w:val="21"/>
          <w:szCs w:val="21"/>
        </w:rPr>
        <w:t>放水测试前，</w:t>
      </w:r>
      <w:r>
        <w:rPr>
          <w:rFonts w:hint="eastAsia" w:ascii="宋体" w:hAnsi="宋体" w:eastAsia="宋体" w:cs="宋体"/>
          <w:sz w:val="21"/>
          <w:szCs w:val="21"/>
          <w:lang w:val="en-US" w:eastAsia="zh-CN"/>
        </w:rPr>
        <w:t>只要</w:t>
      </w:r>
      <w:r>
        <w:rPr>
          <w:rFonts w:hint="eastAsia" w:ascii="宋体" w:hAnsi="宋体" w:eastAsia="宋体" w:cs="宋体"/>
          <w:sz w:val="21"/>
          <w:szCs w:val="21"/>
        </w:rPr>
        <w:t>提前</w:t>
      </w:r>
      <w:r>
        <w:rPr>
          <w:rFonts w:hint="eastAsia" w:ascii="宋体" w:hAnsi="宋体" w:eastAsia="宋体" w:cs="宋体"/>
          <w:sz w:val="21"/>
          <w:szCs w:val="21"/>
          <w:lang w:val="en-US" w:eastAsia="zh-CN"/>
        </w:rPr>
        <w:t>将</w:t>
      </w:r>
      <w:r>
        <w:rPr>
          <w:rFonts w:hint="eastAsia" w:ascii="宋体" w:hAnsi="宋体" w:eastAsia="宋体" w:cs="宋体"/>
          <w:sz w:val="21"/>
          <w:szCs w:val="21"/>
        </w:rPr>
        <w:t>消防泵组控制柜</w:t>
      </w:r>
      <w:r>
        <w:rPr>
          <w:rFonts w:hint="eastAsia" w:ascii="宋体" w:hAnsi="宋体" w:eastAsia="宋体" w:cs="宋体"/>
          <w:sz w:val="21"/>
          <w:szCs w:val="21"/>
          <w:lang w:val="en-US" w:eastAsia="zh-CN"/>
        </w:rPr>
        <w:t>处于手动状态，无需</w:t>
      </w:r>
      <w:r>
        <w:rPr>
          <w:rFonts w:hint="eastAsia" w:ascii="宋体" w:hAnsi="宋体" w:eastAsia="宋体" w:cs="宋体"/>
          <w:sz w:val="21"/>
          <w:szCs w:val="21"/>
        </w:rPr>
        <w:t>派人驻足观测</w:t>
      </w:r>
      <w:r>
        <w:rPr>
          <w:rFonts w:hint="eastAsia" w:ascii="宋体" w:hAnsi="宋体" w:eastAsia="宋体" w:cs="宋体"/>
          <w:sz w:val="21"/>
          <w:szCs w:val="21"/>
          <w:lang w:val="en-US" w:eastAsia="zh-CN"/>
        </w:rPr>
        <w:t>消防泵的情况；</w:t>
      </w:r>
      <w:r>
        <w:rPr>
          <w:rFonts w:hint="eastAsia" w:ascii="宋体" w:hAnsi="宋体" w:eastAsia="宋体" w:cs="宋体"/>
          <w:sz w:val="21"/>
          <w:szCs w:val="21"/>
        </w:rPr>
        <w:t>在</w:t>
      </w:r>
      <w:r>
        <w:rPr>
          <w:rFonts w:hint="eastAsia" w:ascii="宋体" w:hAnsi="宋体" w:eastAsia="宋体" w:cs="宋体"/>
          <w:sz w:val="21"/>
          <w:szCs w:val="21"/>
          <w:lang w:val="en-US" w:eastAsia="zh-CN"/>
        </w:rPr>
        <w:t>消火栓</w:t>
      </w:r>
      <w:r>
        <w:rPr>
          <w:rFonts w:hint="eastAsia" w:ascii="宋体" w:hAnsi="宋体" w:eastAsia="宋体" w:cs="宋体"/>
          <w:sz w:val="21"/>
          <w:szCs w:val="21"/>
        </w:rPr>
        <w:t>放水测试动态压力时要时刻关注的消火栓泵的情况，并派人驻足观测，及时进行人工停泵操作</w:t>
      </w:r>
      <w:r>
        <w:rPr>
          <w:rFonts w:hint="eastAsia" w:ascii="宋体" w:hAnsi="宋体" w:eastAsia="宋体" w:cs="宋体"/>
          <w:sz w:val="21"/>
          <w:szCs w:val="21"/>
          <w:lang w:eastAsia="zh-CN"/>
        </w:rPr>
        <w:t>；</w:t>
      </w:r>
      <w:r>
        <w:rPr>
          <w:rFonts w:hint="eastAsia" w:ascii="宋体" w:hAnsi="宋体" w:eastAsia="宋体" w:cs="宋体"/>
          <w:b w:val="0"/>
          <w:bCs w:val="0"/>
          <w:color w:val="auto"/>
          <w:sz w:val="21"/>
          <w:szCs w:val="21"/>
          <w:lang w:val="en-US" w:eastAsia="zh-CN"/>
        </w:rPr>
        <w:t>（ ）</w:t>
      </w:r>
    </w:p>
    <w:p w14:paraId="52B140A0">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rPr>
        <w:t>维保检测人员进入消防监控室进行操作</w:t>
      </w:r>
      <w:r>
        <w:rPr>
          <w:rFonts w:hint="eastAsia" w:ascii="宋体" w:hAnsi="宋体" w:eastAsia="宋体" w:cs="宋体"/>
          <w:sz w:val="21"/>
          <w:szCs w:val="21"/>
          <w:lang w:val="en-US" w:eastAsia="zh-CN"/>
        </w:rPr>
        <w:t>或在维保区域仅测试</w:t>
      </w:r>
      <w:r>
        <w:rPr>
          <w:rFonts w:hint="eastAsia" w:ascii="宋体" w:hAnsi="宋体" w:eastAsia="宋体" w:cs="宋体"/>
          <w:sz w:val="21"/>
          <w:szCs w:val="21"/>
        </w:rPr>
        <w:t>时，</w:t>
      </w:r>
      <w:r>
        <w:rPr>
          <w:rFonts w:hint="eastAsia" w:ascii="宋体" w:hAnsi="宋体" w:eastAsia="宋体" w:cs="宋体"/>
          <w:sz w:val="21"/>
          <w:szCs w:val="21"/>
          <w:lang w:val="en-US" w:eastAsia="zh-CN"/>
        </w:rPr>
        <w:t>需提前</w:t>
      </w:r>
      <w:r>
        <w:rPr>
          <w:rFonts w:hint="eastAsia" w:ascii="宋体" w:hAnsi="宋体" w:eastAsia="宋体" w:cs="宋体"/>
          <w:sz w:val="21"/>
          <w:szCs w:val="21"/>
        </w:rPr>
        <w:t>跟销控值班人员讲“我们在施工维修</w:t>
      </w:r>
      <w:r>
        <w:rPr>
          <w:rFonts w:hint="eastAsia" w:ascii="宋体" w:hAnsi="宋体" w:eastAsia="宋体" w:cs="宋体"/>
          <w:sz w:val="21"/>
          <w:szCs w:val="21"/>
          <w:lang w:val="en-US" w:eastAsia="zh-CN"/>
        </w:rPr>
        <w:t>或检测测试期间</w:t>
      </w:r>
      <w:r>
        <w:rPr>
          <w:rFonts w:hint="eastAsia" w:ascii="宋体" w:hAnsi="宋体" w:eastAsia="宋体" w:cs="宋体"/>
          <w:sz w:val="21"/>
          <w:szCs w:val="21"/>
        </w:rPr>
        <w:t>、消防主机</w:t>
      </w:r>
      <w:r>
        <w:rPr>
          <w:rFonts w:hint="eastAsia" w:ascii="宋体" w:hAnsi="宋体" w:eastAsia="宋体" w:cs="宋体"/>
          <w:sz w:val="21"/>
          <w:szCs w:val="21"/>
          <w:lang w:val="en-US" w:eastAsia="zh-CN"/>
        </w:rPr>
        <w:t>你暂时</w:t>
      </w:r>
      <w:r>
        <w:rPr>
          <w:rFonts w:hint="eastAsia" w:ascii="宋体" w:hAnsi="宋体" w:eastAsia="宋体" w:cs="宋体"/>
          <w:sz w:val="21"/>
          <w:szCs w:val="21"/>
        </w:rPr>
        <w:t>不用管”</w:t>
      </w:r>
      <w:r>
        <w:rPr>
          <w:rFonts w:hint="eastAsia" w:ascii="宋体" w:hAnsi="宋体" w:eastAsia="宋体" w:cs="宋体"/>
          <w:b w:val="0"/>
          <w:bCs w:val="0"/>
          <w:color w:val="auto"/>
          <w:sz w:val="21"/>
          <w:szCs w:val="21"/>
          <w:lang w:val="en-US" w:eastAsia="zh-CN"/>
        </w:rPr>
        <w:t>（ ）</w:t>
      </w:r>
    </w:p>
    <w:p w14:paraId="10B0C032">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lang w:val="en-US" w:eastAsia="zh-CN"/>
        </w:rPr>
        <w:t>管网式七氟丙烷气体灭火系统检修测试时需切记隔离本防区驱动气瓶的驱动装置（电磁阀），无需给灭火剂气瓶插上保险销。</w:t>
      </w:r>
      <w:r>
        <w:rPr>
          <w:rFonts w:hint="eastAsia" w:ascii="宋体" w:hAnsi="宋体" w:eastAsia="宋体" w:cs="宋体"/>
          <w:b w:val="0"/>
          <w:bCs w:val="0"/>
          <w:color w:val="auto"/>
          <w:sz w:val="21"/>
          <w:szCs w:val="21"/>
          <w:lang w:val="en-US" w:eastAsia="zh-CN"/>
        </w:rPr>
        <w:t>（ ）</w:t>
      </w:r>
    </w:p>
    <w:p w14:paraId="7B584896">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rPr>
        <w:t>消防联动测试前，需提前一周告知物业中心，并由物业发通知书并做好宣讲工作。测试时，要安排测试陪同人员进行任务分工（负责看现场、送电、看护电梯、看护防火卷帘门）；测试结束后及时恢复设备状态。</w:t>
      </w:r>
      <w:r>
        <w:rPr>
          <w:rFonts w:hint="eastAsia" w:ascii="宋体" w:hAnsi="宋体" w:eastAsia="宋体" w:cs="宋体"/>
          <w:b w:val="0"/>
          <w:bCs w:val="0"/>
          <w:color w:val="auto"/>
          <w:sz w:val="21"/>
          <w:szCs w:val="21"/>
          <w:lang w:val="en-US" w:eastAsia="zh-CN"/>
        </w:rPr>
        <w:t>（ ）</w:t>
      </w:r>
    </w:p>
    <w:p w14:paraId="6CE55F62">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lang w:val="en-US" w:eastAsia="zh-CN"/>
        </w:rPr>
        <w:t>强电维修时，切记对上端进行断电后并用工具确认无电压后进行维修；弱电（电压36V以下）线路维修时，无需做任何保护，反正电不死人。</w:t>
      </w:r>
      <w:r>
        <w:rPr>
          <w:rFonts w:hint="eastAsia" w:ascii="宋体" w:hAnsi="宋体" w:eastAsia="宋体" w:cs="宋体"/>
          <w:b w:val="0"/>
          <w:bCs w:val="0"/>
          <w:color w:val="auto"/>
          <w:sz w:val="21"/>
          <w:szCs w:val="21"/>
          <w:lang w:val="en-US" w:eastAsia="zh-CN"/>
        </w:rPr>
        <w:t>（ ）</w:t>
      </w:r>
    </w:p>
    <w:p w14:paraId="108ED5A7">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rPr>
        <w:t>严禁操作挂有警示牌的电气开关，未经授权不得操作配电开关；在切断电源进行维修时，应在开关处悬挂警示牌</w:t>
      </w:r>
      <w:r>
        <w:rPr>
          <w:rFonts w:hint="eastAsia" w:ascii="宋体" w:hAnsi="宋体" w:eastAsia="宋体" w:cs="宋体"/>
          <w:sz w:val="21"/>
          <w:szCs w:val="21"/>
          <w:lang w:val="en-US" w:eastAsia="zh-CN"/>
        </w:rPr>
        <w:t>或派人值守</w:t>
      </w:r>
      <w:r>
        <w:rPr>
          <w:rFonts w:hint="eastAsia" w:ascii="宋体" w:hAnsi="宋体" w:eastAsia="宋体" w:cs="宋体"/>
          <w:sz w:val="21"/>
          <w:szCs w:val="21"/>
          <w:lang w:eastAsia="zh-CN"/>
        </w:rPr>
        <w:t>；</w:t>
      </w:r>
      <w:r>
        <w:rPr>
          <w:rFonts w:hint="eastAsia" w:ascii="宋体" w:hAnsi="宋体" w:eastAsia="宋体" w:cs="宋体"/>
          <w:b w:val="0"/>
          <w:bCs w:val="0"/>
          <w:color w:val="auto"/>
          <w:sz w:val="21"/>
          <w:szCs w:val="21"/>
          <w:lang w:val="en-US" w:eastAsia="zh-CN"/>
        </w:rPr>
        <w:t>（ ）</w:t>
      </w:r>
    </w:p>
    <w:p w14:paraId="4E712DB4">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right="-218" w:rightChars="-104" w:firstLine="0" w:firstLineChars="0"/>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 xml:space="preserve">11、 </w:t>
      </w:r>
      <w:r>
        <w:rPr>
          <w:rFonts w:hint="eastAsia" w:ascii="宋体" w:hAnsi="宋体" w:eastAsia="宋体" w:cs="宋体"/>
          <w:b w:val="0"/>
          <w:bCs w:val="0"/>
          <w:color w:val="auto"/>
          <w:sz w:val="21"/>
          <w:szCs w:val="21"/>
        </w:rPr>
        <w:t>火灾自动报警系统的供电线路、消防联动控制线路应采用耐火铜芯电线电缆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报警总线、消防应急广播和消防专用电话等传输线路应采用阻燃或阻燃耐火电线电缆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铜芯绝缘导线和线铜芯电缆线芯最小截面积</w:t>
      </w:r>
      <w:r>
        <w:rPr>
          <w:rFonts w:hint="eastAsia" w:ascii="宋体" w:hAnsi="宋体" w:eastAsia="宋体" w:cs="宋体"/>
          <w:b w:val="0"/>
          <w:bCs w:val="0"/>
          <w:color w:val="auto"/>
          <w:sz w:val="21"/>
          <w:szCs w:val="21"/>
          <w:lang w:val="en-US" w:eastAsia="zh-CN"/>
        </w:rPr>
        <w:t>在</w:t>
      </w:r>
      <w:r>
        <w:rPr>
          <w:rFonts w:hint="eastAsia" w:ascii="宋体" w:hAnsi="宋体" w:eastAsia="宋体" w:cs="宋体"/>
          <w:b w:val="0"/>
          <w:bCs w:val="0"/>
          <w:color w:val="auto"/>
          <w:sz w:val="21"/>
          <w:szCs w:val="21"/>
        </w:rPr>
        <w:t>穿管敷设时应≥1mm2、线槽内敷设时应≥0.75mm2、多芯电缆应≥0.50mm2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w:t>
      </w:r>
    </w:p>
    <w:p w14:paraId="6C30407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 喷淋头距墙不能小于100mm；无吊顶喷淋安装喷溅盘与顶板的距离不小于75mm，不大于500mm；（ ）</w:t>
      </w:r>
    </w:p>
    <w:p w14:paraId="7C75D044">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 某某地下商场在进行装修时采用隐蔽式喷头以提高美观度（ ）</w:t>
      </w:r>
    </w:p>
    <w:p w14:paraId="2DB0584C">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 除托儿所、幼儿园外，面积小于200且人数不大于50人的单层建筑或多层建筑的首层其安全出口的数量可只设置一个。除医疗、老年人照料设施、儿童活动场所、歌舞娱乐放映游艺场所外，每层面积小于200且合计人数不大于50人的3层及3层以下的多层公共建筑，其安全出口的数量可只设置一个或1部疏散楼梯。（ ）</w:t>
      </w:r>
    </w:p>
    <w:p w14:paraId="73276F6F">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 对于房间位于两个安全出口之间或袋型走道两侧，且老年人、儿童、歌舞娱乐放映游艺场所的面积不大于50平米/医疗教学不大于75平米/其他不大于120平米，可仅设置一个疏散门。另外，对位于走道尽端且其他用途不大于50平米或面积不大于200平米（但疏散门净宽不小于1.4米，房内任一点至疏散门的直线距离不大于15米）也可仅设置一个疏散门。（ ）</w:t>
      </w:r>
    </w:p>
    <w:p w14:paraId="4F84CA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 稳压泵技术性能是其设计压力应满足系统自动启动和管网充满水的要求，启动运行应正常,启泵与停泵压力应符合设定值,压力表显示应正常</w:t>
      </w:r>
    </w:p>
    <w:p w14:paraId="3895717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 消防水泵的低压压力开关应根据压力要求设置自动启泵点与自动停泵点，否则容易造成管网承压过大。</w:t>
      </w:r>
    </w:p>
    <w:p w14:paraId="1384808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18、 </w:t>
      </w:r>
      <w:r>
        <w:rPr>
          <w:rFonts w:hint="default" w:ascii="宋体" w:hAnsi="宋体" w:eastAsia="宋体" w:cs="宋体"/>
          <w:b w:val="0"/>
          <w:bCs w:val="0"/>
          <w:color w:val="auto"/>
          <w:sz w:val="21"/>
          <w:szCs w:val="21"/>
          <w:lang w:val="en-US" w:eastAsia="zh-CN"/>
        </w:rPr>
        <w:t>建筑高度≤100m的一类高层公共建筑、工业建筑</w:t>
      </w:r>
      <w:r>
        <w:rPr>
          <w:rFonts w:hint="eastAsia" w:ascii="宋体" w:hAnsi="宋体" w:eastAsia="宋体" w:cs="宋体"/>
          <w:b w:val="0"/>
          <w:bCs w:val="0"/>
          <w:color w:val="auto"/>
          <w:sz w:val="21"/>
          <w:szCs w:val="21"/>
          <w:lang w:val="en-US" w:eastAsia="zh-CN"/>
        </w:rPr>
        <w:t>(利用举高水箱进行保压)</w:t>
      </w:r>
      <w:r>
        <w:rPr>
          <w:rFonts w:hint="default" w:ascii="宋体" w:hAnsi="宋体" w:eastAsia="宋体" w:cs="宋体"/>
          <w:b w:val="0"/>
          <w:bCs w:val="0"/>
          <w:color w:val="auto"/>
          <w:sz w:val="21"/>
          <w:szCs w:val="21"/>
          <w:lang w:val="en-US" w:eastAsia="zh-CN"/>
        </w:rPr>
        <w:t>：最有利点消火栓动压应≤0.5MPa</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val="en-US" w:eastAsia="zh-CN"/>
        </w:rPr>
        <w:t>最有利点消火栓静压应≤1.0MPa</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val="en-US" w:eastAsia="zh-CN"/>
        </w:rPr>
        <w:t>最不利点消火栓静压不应低于0.1</w:t>
      </w:r>
      <w:r>
        <w:rPr>
          <w:rFonts w:hint="eastAsia" w:ascii="宋体" w:hAnsi="宋体" w:eastAsia="宋体" w:cs="宋体"/>
          <w:b w:val="0"/>
          <w:bCs w:val="0"/>
          <w:color w:val="auto"/>
          <w:sz w:val="21"/>
          <w:szCs w:val="21"/>
          <w:lang w:val="en-US" w:eastAsia="zh-CN"/>
        </w:rPr>
        <w:t>5</w:t>
      </w:r>
      <w:r>
        <w:rPr>
          <w:rFonts w:hint="default" w:ascii="宋体" w:hAnsi="宋体" w:eastAsia="宋体" w:cs="宋体"/>
          <w:b w:val="0"/>
          <w:bCs w:val="0"/>
          <w:color w:val="auto"/>
          <w:sz w:val="21"/>
          <w:szCs w:val="21"/>
          <w:lang w:val="en-US" w:eastAsia="zh-CN"/>
        </w:rPr>
        <w:t>MPa</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val="en-US" w:eastAsia="zh-CN"/>
        </w:rPr>
        <w:t>最不利点消火栓动压不应大于0.</w:t>
      </w:r>
      <w:r>
        <w:rPr>
          <w:rFonts w:hint="eastAsia" w:ascii="宋体" w:hAnsi="宋体" w:eastAsia="宋体" w:cs="宋体"/>
          <w:b w:val="0"/>
          <w:bCs w:val="0"/>
          <w:color w:val="auto"/>
          <w:sz w:val="21"/>
          <w:szCs w:val="21"/>
          <w:lang w:val="en-US" w:eastAsia="zh-CN"/>
        </w:rPr>
        <w:t>1</w:t>
      </w:r>
      <w:r>
        <w:rPr>
          <w:rFonts w:hint="default" w:ascii="宋体" w:hAnsi="宋体" w:eastAsia="宋体" w:cs="宋体"/>
          <w:b w:val="0"/>
          <w:bCs w:val="0"/>
          <w:color w:val="auto"/>
          <w:sz w:val="21"/>
          <w:szCs w:val="21"/>
          <w:lang w:val="en-US" w:eastAsia="zh-CN"/>
        </w:rPr>
        <w:t>0MPa</w:t>
      </w:r>
      <w:r>
        <w:rPr>
          <w:rFonts w:hint="eastAsia" w:ascii="宋体" w:hAnsi="宋体" w:eastAsia="宋体" w:cs="宋体"/>
          <w:b w:val="0"/>
          <w:bCs w:val="0"/>
          <w:color w:val="auto"/>
          <w:sz w:val="21"/>
          <w:szCs w:val="21"/>
          <w:lang w:val="en-US" w:eastAsia="zh-CN"/>
        </w:rPr>
        <w:t>。</w:t>
      </w:r>
    </w:p>
    <w:p w14:paraId="7EC1D4A0">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color w:val="auto"/>
          <w:sz w:val="21"/>
          <w:szCs w:val="21"/>
          <w:lang w:val="en-US" w:eastAsia="zh-CN"/>
        </w:rPr>
        <w:t>迟到/早退：迟到5分钟以上的，按迟到1小时处理，罚款20元/次;超过1小时，罚款100元/次；一个月迟到/早退达到5次，给予该员工书面警告一次，并罚款200元。</w:t>
      </w:r>
      <w:r>
        <w:rPr>
          <w:rFonts w:hint="eastAsia" w:ascii="宋体" w:hAnsi="宋体" w:eastAsia="宋体" w:cs="宋体"/>
          <w:b w:val="0"/>
          <w:bCs w:val="0"/>
          <w:color w:val="auto"/>
          <w:sz w:val="21"/>
          <w:szCs w:val="21"/>
          <w:lang w:val="en-US" w:eastAsia="zh-CN"/>
        </w:rPr>
        <w:t>（ ）</w:t>
      </w:r>
    </w:p>
    <w:p w14:paraId="61CC76D1">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ind w:lef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20、</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color w:val="auto"/>
          <w:sz w:val="21"/>
          <w:szCs w:val="21"/>
          <w:lang w:val="en-US" w:eastAsia="zh-CN"/>
        </w:rPr>
        <w:t>上班时间不得擅自串岗、嬉闹、高声喧哗，做工作以外的事情。情节严重者，扣除当月工资，且公司有权予以辞退。</w:t>
      </w:r>
      <w:r>
        <w:rPr>
          <w:rFonts w:hint="eastAsia" w:ascii="宋体" w:hAnsi="宋体" w:eastAsia="宋体" w:cs="宋体"/>
          <w:b w:val="0"/>
          <w:bCs w:val="0"/>
          <w:color w:val="auto"/>
          <w:sz w:val="21"/>
          <w:szCs w:val="21"/>
          <w:lang w:val="en-US" w:eastAsia="zh-CN"/>
        </w:rPr>
        <w:t>（ ）</w:t>
      </w:r>
    </w:p>
    <w:p w14:paraId="7B8C87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 维保检测过程中发现有消防主机故障较多时，既需拍照留存，又要对新故障进行分析判断与归纳，在维保结束时与项目对接人进行提出维修方案时，把故障信息发给项目经理，由项目经理直接报价以提高效率。（ ）</w:t>
      </w:r>
    </w:p>
    <w:p w14:paraId="76EB51D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22、防火门左右上下的缝隙只要满足“3339”是不需要粘贴隔烟条（“3339”是指门扇与上框的配合活动间隙不应大于3mm； 双扇、多扇门的门扇之间缝隙不应大于3mm；门扇与门框贴合面间隙、门扇与门框有合页一侧、有锁一侧及上框的贴合面间隙，均不应大于3mm；门扇与下框或地面的活动间隙不应大于9mm）。（ ）</w:t>
      </w:r>
    </w:p>
    <w:p w14:paraId="078926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例行维保月检时，巡检现场留存影像需采用水印相机拍摄（日期、定位地址或水印地址、个别区域最好能备注上楼层房间号、某某设备房）。照片拍摄时：正对拍照对象，对焦关键数据，距离适中，远近各一。视频录制时正对焦摄制对象中央，内容要全面，涵盖所有需巡检的必要信息，如消防联动视频录制时，需包含所有联动设备的动作情况，同时口述联动设备的动作情况。（ ）</w:t>
      </w:r>
    </w:p>
    <w:p w14:paraId="617276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24、当发生火情后转入应急状态，强启应急照明。一般场所，疏散走道不应低于3.0lx,人员密集场所、避难场所，不应低于5.0lx，对于病房楼或手术室的避难间照度不应低于10.0lx，对于楼梯间、前室或合用前室、避难走道，不应低于5.0lx。（ ）</w:t>
      </w:r>
    </w:p>
    <w:p w14:paraId="77038C6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25、对于商业综合体、酒店等人密场所区域必须进行喷淋末端试水启泵测试。当需要进行喷淋末端试水测试时，90秒内压力开关、水流指示器和水力警铃动作，2-5分钟应内接收到启泵反馈。（ ）</w:t>
      </w:r>
    </w:p>
    <w:p w14:paraId="4BEEF6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default"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lang w:val="en-US" w:eastAsia="zh-CN"/>
        </w:rPr>
        <w:t>26、联动公式是用来定义系统中报警设备与被控设备间联动关系的逻辑表达式。当系统中的探测设备报警或控制模块的状态发生变化时，控制器可按照这些逻辑表达式自动对被控设备执行“立即启动”、“延时启动”或“立即停动”操作。（ ）</w:t>
      </w:r>
    </w:p>
    <w:p w14:paraId="04D5C427">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textAlignment w:val="auto"/>
        <w:rPr>
          <w:rFonts w:hint="default" w:ascii="宋体" w:hAnsi="宋体" w:eastAsia="宋体" w:cs="宋体"/>
          <w:b/>
          <w:bCs/>
          <w:strike/>
          <w:dstrike w:val="0"/>
          <w:color w:val="auto"/>
          <w:sz w:val="21"/>
          <w:szCs w:val="21"/>
          <w:u w:val="single"/>
          <w:lang w:val="en-US" w:eastAsia="zh-CN"/>
        </w:rPr>
      </w:pPr>
      <w:r>
        <w:rPr>
          <w:rFonts w:hint="eastAsia" w:ascii="宋体" w:hAnsi="宋体" w:eastAsia="宋体" w:cs="宋体"/>
          <w:b/>
          <w:bCs/>
          <w:strike w:val="0"/>
          <w:dstrike w:val="0"/>
          <w:color w:val="auto"/>
          <w:sz w:val="21"/>
          <w:szCs w:val="21"/>
          <w:u w:val="single"/>
          <w:lang w:val="en-US" w:eastAsia="zh-CN"/>
        </w:rPr>
        <w:t>27-34填空题。各空2分。</w:t>
      </w:r>
      <w:r>
        <w:rPr>
          <w:rFonts w:hint="eastAsia" w:ascii="宋体" w:hAnsi="宋体" w:eastAsia="宋体" w:cs="宋体"/>
          <w:b/>
          <w:bCs/>
          <w:color w:val="auto"/>
          <w:sz w:val="21"/>
          <w:szCs w:val="21"/>
          <w:u w:val="single"/>
          <w:lang w:val="en-US" w:eastAsia="zh-CN"/>
        </w:rPr>
        <w:t>36分</w:t>
      </w:r>
      <w:r>
        <w:rPr>
          <w:rFonts w:hint="eastAsia" w:ascii="宋体" w:hAnsi="宋体" w:eastAsia="宋体" w:cs="宋体"/>
          <w:b w:val="0"/>
          <w:bCs w:val="0"/>
          <w:color w:val="auto"/>
          <w:sz w:val="21"/>
          <w:szCs w:val="21"/>
          <w:u w:val="single"/>
          <w:lang w:val="en-US" w:eastAsia="zh-CN"/>
        </w:rPr>
        <w:t xml:space="preserve">                                                  </w:t>
      </w:r>
    </w:p>
    <w:p w14:paraId="0DB28E58">
      <w:pPr>
        <w:keepNext w:val="0"/>
        <w:keepLines w:val="0"/>
        <w:pageBreakBefore w:val="0"/>
        <w:widowControl w:val="0"/>
        <w:numPr>
          <w:ilvl w:val="0"/>
          <w:numId w:val="0"/>
        </w:numPr>
        <w:kinsoku/>
        <w:wordWrap/>
        <w:overflowPunct/>
        <w:topLinePunct w:val="0"/>
        <w:autoSpaceDE/>
        <w:autoSpaceDN/>
        <w:bidi w:val="0"/>
        <w:snapToGrid/>
        <w:spacing w:before="157" w:beforeLines="50"/>
        <w:ind w:leftChars="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27、 按照平时常规环境下（办公楼层高3.5m），一个独立房间不超过</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可仅安装一个感烟探测器；一个独立厨房不超过</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可仅安装一个感温探测器；</w:t>
      </w:r>
    </w:p>
    <w:p w14:paraId="6DF28947">
      <w:pPr>
        <w:keepNext w:val="0"/>
        <w:keepLines w:val="0"/>
        <w:pageBreakBefore w:val="0"/>
        <w:widowControl w:val="0"/>
        <w:kinsoku/>
        <w:wordWrap/>
        <w:overflowPunct/>
        <w:topLinePunct w:val="0"/>
        <w:autoSpaceDE/>
        <w:autoSpaceDN/>
        <w:bidi w:val="0"/>
        <w:snapToGrid/>
        <w:spacing w:before="157" w:beforeLines="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sz w:val="21"/>
          <w:szCs w:val="21"/>
          <w:lang w:val="en-US" w:eastAsia="zh-CN"/>
        </w:rPr>
        <w:t>当吊顶镂空面积大于总面积</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%时，可仅在吊顶上方进行布置喷淋头。当吊顶镂空面积大于总面积</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%时，可仅在吊顶上方进行布置感烟探测器。当吊顶镂空面积大于总面积</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%且开口均匀时，吊顶内高度可计入储烟仓厚度。</w:t>
      </w:r>
    </w:p>
    <w:p w14:paraId="6266838F">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29、</w:t>
      </w:r>
      <w:r>
        <w:rPr>
          <w:rFonts w:hint="eastAsia" w:ascii="宋体" w:hAnsi="宋体" w:eastAsia="宋体" w:cs="宋体"/>
          <w:color w:val="auto"/>
          <w:sz w:val="21"/>
          <w:szCs w:val="21"/>
          <w:lang w:val="en-US" w:eastAsia="zh-CN"/>
        </w:rPr>
        <w:t>维保检测过程中发现有消防设施硬件存在损坏或缺失，需拍照留存并附上故障设备信息</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color w:val="auto"/>
          <w:sz w:val="21"/>
          <w:szCs w:val="21"/>
          <w:lang w:val="en-US" w:eastAsia="zh-CN"/>
        </w:rPr>
        <w:t>），在维保结束时与项目对接人进行提出维修方案时，把故障设备位置信息发给项目经理，由项目经理直接报价以提高效率。</w:t>
      </w:r>
    </w:p>
    <w:p w14:paraId="64472D88">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ind w:leftChars="0"/>
        <w:textAlignment w:val="auto"/>
      </w:pPr>
      <w:r>
        <w:rPr>
          <w:sz w:val="21"/>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273050</wp:posOffset>
                </wp:positionV>
                <wp:extent cx="555625" cy="180975"/>
                <wp:effectExtent l="6350" t="6350" r="9525" b="22225"/>
                <wp:wrapNone/>
                <wp:docPr id="3" name="流程图: 过程 3"/>
                <wp:cNvGraphicFramePr/>
                <a:graphic xmlns:a="http://schemas.openxmlformats.org/drawingml/2006/main">
                  <a:graphicData uri="http://schemas.microsoft.com/office/word/2010/wordprocessingShape">
                    <wps:wsp>
                      <wps:cNvSpPr/>
                      <wps:spPr>
                        <a:xfrm>
                          <a:off x="4721860" y="4714240"/>
                          <a:ext cx="555625" cy="180975"/>
                        </a:xfrm>
                        <a:prstGeom prst="flowChartProcess">
                          <a:avLst/>
                        </a:prstGeom>
                        <a:noFill/>
                        <a:ln w="12700" cmpd="dbl">
                          <a:solidFill>
                            <a:schemeClr val="tx1"/>
                          </a:solidFill>
                          <a:prstDash val="dash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61.1pt;margin-top:21.5pt;height:14.25pt;width:43.75pt;z-index:251660288;v-text-anchor:middle;mso-width-relative:page;mso-height-relative:page;" filled="f" stroked="t" coordsize="21600,21600" o:gfxdata="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YEu2AAAAAkB&#10;AAAPAAAAAAAAAAEAIAAAACIAAABkcnMvZG93bnJldi54bWxQSwECFAAUAAAACACHTuJArttXAo0C&#10;AADvBAAADgAAAAAAAAABACAAAAAnAQAAZHJzL2Uyb0RvYy54bWxQSwUGAAAAAAYABgBZAQAAJgYA&#10;AAAA&#10;">
                <v:fill on="f" focussize="0,0"/>
                <v:stroke weight="1pt" color="#000000 [3213]" linestyle="thinThin" miterlimit="8" joinstyle="miter" dashstyle="dashDot"/>
                <v:imagedata o:title=""/>
                <o:lock v:ext="edit" aspectratio="f"/>
              </v:shape>
            </w:pict>
          </mc:Fallback>
        </mc:AlternateContent>
      </w:r>
      <w:r>
        <w:rPr>
          <w:rFonts w:hint="eastAsia"/>
          <w:sz w:val="21"/>
          <w:lang w:val="en-US" w:eastAsia="zh-CN"/>
        </w:rPr>
        <w:t>30</w:t>
      </w:r>
      <w:r>
        <w:rPr>
          <w:rFonts w:hint="eastAsia" w:ascii="宋体" w:hAnsi="宋体" w:eastAsia="宋体" w:cs="宋体"/>
          <w:color w:val="auto"/>
          <w:sz w:val="21"/>
          <w:szCs w:val="21"/>
          <w:lang w:val="en-US" w:eastAsia="zh-CN"/>
        </w:rPr>
        <w:t>、</w:t>
      </w:r>
      <w:r>
        <w:rPr>
          <w:rFonts w:hint="eastAsia" w:ascii="宋体" w:hAnsi="宋体" w:eastAsia="宋体" w:cs="宋体"/>
          <w:b w:val="0"/>
          <w:bCs w:val="0"/>
          <w:color w:val="auto"/>
          <w:sz w:val="21"/>
          <w:szCs w:val="21"/>
          <w:lang w:val="en-US" w:eastAsia="zh-CN"/>
        </w:rPr>
        <w:t xml:space="preserve"> </w:t>
      </w:r>
      <w:r>
        <w:rPr>
          <w:rFonts w:hint="eastAsia"/>
          <w:lang w:val="en-US" w:eastAsia="zh-CN"/>
        </w:rPr>
        <w:t>当前公司常规项目</w:t>
      </w:r>
      <w:r>
        <w:rPr>
          <w:rFonts w:hint="eastAsia"/>
        </w:rPr>
        <w:t>维保</w:t>
      </w:r>
      <w:r>
        <w:rPr>
          <w:rFonts w:hint="eastAsia"/>
          <w:lang w:val="en-US" w:eastAsia="zh-CN"/>
        </w:rPr>
        <w:t>检测</w:t>
      </w:r>
      <w:r>
        <w:rPr>
          <w:rFonts w:hint="eastAsia"/>
        </w:rPr>
        <w:t>流程：项目初</w:t>
      </w:r>
      <w:r>
        <w:rPr>
          <w:rFonts w:hint="eastAsia"/>
          <w:lang w:val="en-US" w:eastAsia="zh-CN"/>
        </w:rPr>
        <w:t>步勘</w:t>
      </w:r>
      <w:r>
        <w:rPr>
          <w:rFonts w:hint="eastAsia"/>
        </w:rPr>
        <w:t>查</w:t>
      </w:r>
      <w:r>
        <w:t>—</w:t>
      </w:r>
      <w:r>
        <w:rPr>
          <w:rFonts w:hint="eastAsia"/>
        </w:rPr>
        <w:t>商务约定</w:t>
      </w:r>
      <w:r>
        <w:t>—</w:t>
      </w:r>
      <w:r>
        <w:rPr>
          <w:rFonts w:hint="eastAsia"/>
          <w:lang w:val="en-US" w:eastAsia="zh-CN"/>
        </w:rPr>
        <w:t>查验</w:t>
      </w:r>
      <w:r>
        <w:rPr>
          <w:rFonts w:hint="eastAsia"/>
        </w:rPr>
        <w:t>排查---合同录入</w:t>
      </w:r>
      <w:r>
        <w:t>—</w:t>
      </w:r>
      <w:r>
        <w:rPr>
          <w:rFonts w:hint="eastAsia"/>
        </w:rPr>
        <w:t>项目备案</w:t>
      </w:r>
      <w:r>
        <w:t>—</w:t>
      </w:r>
      <w:r>
        <w:rPr>
          <w:rFonts w:hint="eastAsia"/>
        </w:rPr>
        <w:t>制定维保方案</w:t>
      </w:r>
      <w:r>
        <w:t>—</w:t>
      </w:r>
      <w:r>
        <w:rPr>
          <w:rFonts w:hint="eastAsia"/>
        </w:rPr>
        <w:t>月度、季度、年度维保检测</w:t>
      </w:r>
      <w:r>
        <w:rPr>
          <w:rFonts w:hint="eastAsia"/>
          <w:lang w:eastAsia="zh-CN"/>
        </w:rPr>
        <w:t>（</w:t>
      </w:r>
      <w:r>
        <w:rPr>
          <w:rFonts w:hint="eastAsia"/>
          <w:u w:val="single"/>
          <w:lang w:val="en-US" w:eastAsia="zh-CN"/>
        </w:rPr>
        <w:t xml:space="preserve">        </w:t>
      </w:r>
      <w:r>
        <w:rPr>
          <w:rFonts w:hint="eastAsia"/>
          <w:lang w:val="en-US" w:eastAsia="zh-CN"/>
        </w:rPr>
        <w:t>、现场执业、签退</w:t>
      </w:r>
      <w:r>
        <w:rPr>
          <w:rFonts w:hint="eastAsia"/>
          <w:lang w:eastAsia="zh-CN"/>
        </w:rPr>
        <w:t>）</w:t>
      </w:r>
      <w:r>
        <w:t>—</w:t>
      </w:r>
    </w:p>
    <w:p w14:paraId="35804E07">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ind w:leftChars="0"/>
        <w:textAlignment w:val="auto"/>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67310</wp:posOffset>
                </wp:positionV>
                <wp:extent cx="706120" cy="181610"/>
                <wp:effectExtent l="6350" t="6350" r="11430" b="21590"/>
                <wp:wrapNone/>
                <wp:docPr id="4" name="流程图: 过程 4"/>
                <wp:cNvGraphicFramePr/>
                <a:graphic xmlns:a="http://schemas.openxmlformats.org/drawingml/2006/main">
                  <a:graphicData uri="http://schemas.microsoft.com/office/word/2010/wordprocessingShape">
                    <wps:wsp>
                      <wps:cNvSpPr/>
                      <wps:spPr>
                        <a:xfrm>
                          <a:off x="0" y="0"/>
                          <a:ext cx="706120" cy="181610"/>
                        </a:xfrm>
                        <a:prstGeom prst="flowChartProcess">
                          <a:avLst/>
                        </a:prstGeom>
                        <a:noFill/>
                        <a:ln w="12700" cmpd="dbl">
                          <a:solidFill>
                            <a:schemeClr val="tx1"/>
                          </a:solidFill>
                          <a:prstDash val="dash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55pt;margin-top:5.3pt;height:14.3pt;width:55.6pt;z-index:251661312;v-text-anchor:middle;mso-width-relative:page;mso-height-relative:page;" filled="f" stroked="t" coordsize="21600,21600" o:gfxdata="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XlwH31QAAAAcBAAAPAAAAAAAAAAEAIAAAACIA&#10;AABkcnMvZG93bnJldi54bWxQSwECFAAUAAAACACHTuJAUKdQIH4CAADjBAAADgAAAAAAAAABACAA&#10;AAAkAQAAZHJzL2Uyb0RvYy54bWxQSwUGAAAAAAYABgBZAQAAFAYAAAAA&#10;">
                <v:fill on="f" focussize="0,0"/>
                <v:stroke weight="1pt" color="#000000 [3213]" linestyle="thinThin" miterlimit="8" joinstyle="miter" dashstyle="dashDot"/>
                <v:imagedata o:title=""/>
                <o:lock v:ext="edit" aspectratio="f"/>
              </v:shape>
            </w:pict>
          </mc:Fallback>
        </mc:AlternateContent>
      </w:r>
      <w:r>
        <w:rPr>
          <w:rFonts w:hint="eastAsia"/>
          <w:u w:val="single"/>
          <w:lang w:val="en-US" w:eastAsia="zh-CN"/>
        </w:rPr>
        <w:t xml:space="preserve">            </w:t>
      </w:r>
      <w:r>
        <w:rPr>
          <w:rFonts w:hint="eastAsia"/>
          <w:lang w:val="en-US" w:eastAsia="zh-CN"/>
        </w:rPr>
        <w:t>-------维保</w:t>
      </w:r>
      <w:r>
        <w:rPr>
          <w:rFonts w:hint="eastAsia"/>
        </w:rPr>
        <w:t>报告上传、备案</w:t>
      </w:r>
      <w:r>
        <w:t>—</w:t>
      </w:r>
      <w:r>
        <w:rPr>
          <w:rFonts w:hint="eastAsia"/>
        </w:rPr>
        <w:t>申请报告编号</w:t>
      </w:r>
    </w:p>
    <w:p w14:paraId="26EA3E0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 大于等于</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 对外营业场所与公共聚集场所需报验消防大队进行开业检（在投入使用、营业前应当向属地消防救援机构申请消防安全检查。）；大于等于</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 xml:space="preserve"> ㎡ 的装修项目，或涉及改变原有功能及布局进行迁移消防设施必须报住建竣工验收；</w:t>
      </w:r>
    </w:p>
    <w:p w14:paraId="1BA703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 管径DN65的消火栓管可带</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套消火栓，管径DN80的消火栓管可带</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套消火栓；DN32的喷淋支管可带</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个喷淋头，DN50的喷淋管网可带</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个喷淋头。</w:t>
      </w:r>
    </w:p>
    <w:p w14:paraId="0B34ED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33、室内消火栓栓口动压力大于</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Mpa时，必须设置减压装置。</w:t>
      </w:r>
    </w:p>
    <w:p w14:paraId="3C7520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34、风机的选型要根据风量的1.2倍。风量的计算：Q=FS即风管风口的截面积与风速的乘积；风速的测试必须从最不利点的风管末端利用风速仪采用</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方法进行采测。</w:t>
      </w:r>
    </w:p>
    <w:p w14:paraId="531BD3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u w:val="single"/>
          <w:lang w:val="en-US" w:eastAsia="zh-CN"/>
        </w:rPr>
        <w:t xml:space="preserve">35-41简答题。合计48分                                                                     </w:t>
      </w:r>
    </w:p>
    <w:p w14:paraId="27F94D3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35、（简答题5分）喷淋泵的启泵方式有几种？</w:t>
      </w:r>
    </w:p>
    <w:p w14:paraId="0AB0992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p>
    <w:p w14:paraId="0EA320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p>
    <w:p w14:paraId="121A33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p>
    <w:p w14:paraId="4A0392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p>
    <w:p w14:paraId="4F82D2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36、（简答题5分）设置消防软管卷盘或轻便消防龙头的场所是哪些？</w:t>
      </w:r>
    </w:p>
    <w:p w14:paraId="07999F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0322CA7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Chars="0" w:right="0" w:rightChars="0"/>
        <w:jc w:val="left"/>
        <w:textAlignment w:val="auto"/>
        <w:rPr>
          <w:rFonts w:hint="eastAsia" w:ascii="宋体" w:hAnsi="宋体" w:eastAsia="宋体" w:cs="宋体"/>
          <w:b w:val="0"/>
          <w:bCs w:val="0"/>
          <w:color w:val="auto"/>
          <w:sz w:val="21"/>
          <w:szCs w:val="21"/>
          <w:lang w:val="en-US" w:eastAsia="zh-CN"/>
        </w:rPr>
      </w:pPr>
    </w:p>
    <w:p w14:paraId="089E0D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Chars="0" w:right="0" w:rightChars="0"/>
        <w:jc w:val="left"/>
        <w:textAlignment w:val="auto"/>
        <w:rPr>
          <w:rFonts w:hint="eastAsia" w:ascii="宋体" w:hAnsi="宋体" w:eastAsia="宋体" w:cs="宋体"/>
          <w:b w:val="0"/>
          <w:bCs w:val="0"/>
          <w:color w:val="auto"/>
          <w:sz w:val="21"/>
          <w:szCs w:val="21"/>
          <w:lang w:val="en-US" w:eastAsia="zh-CN"/>
        </w:rPr>
      </w:pPr>
    </w:p>
    <w:p w14:paraId="751DCD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Chars="0" w:right="0" w:rightChars="0"/>
        <w:jc w:val="left"/>
        <w:textAlignment w:val="auto"/>
        <w:rPr>
          <w:rFonts w:hint="eastAsia" w:ascii="宋体" w:hAnsi="宋体" w:eastAsia="宋体" w:cs="宋体"/>
          <w:b w:val="0"/>
          <w:bCs w:val="0"/>
          <w:color w:val="auto"/>
          <w:sz w:val="21"/>
          <w:szCs w:val="21"/>
          <w:lang w:val="en-US" w:eastAsia="zh-CN"/>
        </w:rPr>
      </w:pPr>
    </w:p>
    <w:p w14:paraId="23A774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Chars="0"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37、（简答题5分）水泵接合器需有清晰的永久性铭牌标识，标识标牌上需包含哪些内容？</w:t>
      </w:r>
    </w:p>
    <w:p w14:paraId="48A9D4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eastAsia="宋体" w:cs="宋体"/>
          <w:b w:val="0"/>
          <w:bCs w:val="0"/>
          <w:color w:val="auto"/>
          <w:sz w:val="21"/>
          <w:szCs w:val="21"/>
          <w:lang w:val="en-US" w:eastAsia="zh-CN"/>
        </w:rPr>
      </w:pPr>
    </w:p>
    <w:p w14:paraId="092FF0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eastAsia="宋体" w:cs="宋体"/>
          <w:b w:val="0"/>
          <w:bCs w:val="0"/>
          <w:color w:val="auto"/>
          <w:sz w:val="21"/>
          <w:szCs w:val="21"/>
          <w:lang w:val="en-US" w:eastAsia="zh-CN"/>
        </w:rPr>
      </w:pPr>
    </w:p>
    <w:p w14:paraId="5F25B6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eastAsia="宋体" w:cs="宋体"/>
          <w:b w:val="0"/>
          <w:bCs w:val="0"/>
          <w:color w:val="auto"/>
          <w:sz w:val="21"/>
          <w:szCs w:val="21"/>
          <w:lang w:val="en-US" w:eastAsia="zh-CN"/>
        </w:rPr>
      </w:pPr>
    </w:p>
    <w:p w14:paraId="4F6AA9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188442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38、（简答题5分）现在新建民用建筑为什么消防主机要设置多台消防广播功率放大器？</w:t>
      </w:r>
    </w:p>
    <w:p w14:paraId="11FC0B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13CF2C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38DDF4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23E5427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570089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269C3D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39、（简答题8分）请简要解析某大楼一层编制的海湾消防联动程式：</w:t>
      </w:r>
    </w:p>
    <w:p w14:paraId="29BE1E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01000902*01001003 + 01001111= 0100121205 0100131300 0100191910</w:t>
      </w:r>
    </w:p>
    <w:p w14:paraId="73E22C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24E95F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299D5B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7BC3F5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552A2C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Chars="0"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40、（简答题10分）民用建筑排烟设施设置场所有哪些？当条件允许使用自然排烟时需要满足什么条件？</w:t>
      </w:r>
    </w:p>
    <w:p w14:paraId="375222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30C63E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0DA9D87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70AE06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color w:val="auto"/>
          <w:sz w:val="21"/>
          <w:szCs w:val="21"/>
          <w:lang w:val="en-US" w:eastAsia="zh-CN"/>
        </w:rPr>
      </w:pPr>
    </w:p>
    <w:p w14:paraId="10C45CD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41、（简答题10分）简述消防电梯的使用方法及与普通客梯的区别之处？</w:t>
      </w:r>
    </w:p>
    <w:p w14:paraId="75EFEB4E">
      <w:pPr>
        <w:spacing w:after="60" w:line="160" w:lineRule="atLeast"/>
        <w:ind w:right="-340" w:firstLine="567"/>
        <w:rPr>
          <w:rFonts w:hint="default"/>
          <w:i/>
          <w:iCs/>
          <w:sz w:val="20"/>
          <w:szCs w:val="20"/>
          <w:u w:val="none"/>
          <w:lang w:val="en-US"/>
        </w:rPr>
      </w:pPr>
    </w:p>
    <w:p w14:paraId="4C9EAF27">
      <w:pPr>
        <w:numPr>
          <w:ilvl w:val="0"/>
          <w:numId w:val="0"/>
        </w:numPr>
        <w:spacing w:after="60" w:line="160" w:lineRule="atLeast"/>
        <w:ind w:right="-340" w:rightChars="0"/>
        <w:rPr>
          <w:rFonts w:hint="eastAsia"/>
          <w:i w:val="0"/>
          <w:iCs w:val="0"/>
          <w:sz w:val="20"/>
          <w:szCs w:val="20"/>
          <w:u w:val="none"/>
          <w:lang w:val="en-US" w:eastAsia="zh-CN"/>
        </w:rPr>
      </w:pPr>
    </w:p>
    <w:p w14:paraId="1642F5DA">
      <w:pPr>
        <w:numPr>
          <w:ilvl w:val="0"/>
          <w:numId w:val="0"/>
        </w:numPr>
        <w:spacing w:after="60" w:line="160" w:lineRule="atLeast"/>
        <w:ind w:right="-340" w:rightChars="0"/>
        <w:rPr>
          <w:rFonts w:hint="eastAsia"/>
          <w:i w:val="0"/>
          <w:iCs w:val="0"/>
          <w:sz w:val="20"/>
          <w:szCs w:val="20"/>
          <w:u w:val="none"/>
          <w:lang w:val="en-US" w:eastAsia="zh-CN"/>
        </w:rPr>
      </w:pPr>
    </w:p>
    <w:p w14:paraId="4CB941B8">
      <w:pPr>
        <w:numPr>
          <w:ilvl w:val="0"/>
          <w:numId w:val="0"/>
        </w:numPr>
        <w:spacing w:after="60" w:line="160" w:lineRule="atLeast"/>
        <w:ind w:right="-340" w:rightChars="0"/>
        <w:rPr>
          <w:rFonts w:hint="eastAsia"/>
          <w:i w:val="0"/>
          <w:iCs w:val="0"/>
          <w:sz w:val="20"/>
          <w:szCs w:val="20"/>
          <w:u w:val="none"/>
          <w:lang w:val="en-US" w:eastAsia="zh-CN"/>
        </w:rPr>
      </w:pPr>
    </w:p>
    <w:p w14:paraId="700FE994">
      <w:pPr>
        <w:numPr>
          <w:ilvl w:val="0"/>
          <w:numId w:val="0"/>
        </w:numPr>
        <w:spacing w:after="60" w:line="160" w:lineRule="atLeast"/>
        <w:ind w:right="-340" w:rightChars="0"/>
        <w:rPr>
          <w:rFonts w:hint="eastAsia"/>
          <w:i w:val="0"/>
          <w:iCs w:val="0"/>
          <w:sz w:val="20"/>
          <w:szCs w:val="20"/>
          <w:u w:val="none"/>
          <w:lang w:val="en-US" w:eastAsia="zh-CN"/>
        </w:rPr>
      </w:pPr>
    </w:p>
    <w:p w14:paraId="1E67D1FD">
      <w:pPr>
        <w:numPr>
          <w:ilvl w:val="0"/>
          <w:numId w:val="0"/>
        </w:numPr>
        <w:spacing w:after="60" w:line="160" w:lineRule="atLeast"/>
        <w:ind w:right="-340" w:rightChars="0"/>
        <w:rPr>
          <w:rFonts w:hint="eastAsia"/>
          <w:i w:val="0"/>
          <w:iCs w:val="0"/>
          <w:sz w:val="20"/>
          <w:szCs w:val="20"/>
          <w:u w:val="none"/>
          <w:lang w:val="en-US" w:eastAsia="zh-CN"/>
        </w:rPr>
      </w:pPr>
    </w:p>
    <w:p w14:paraId="6D0AEE3A">
      <w:pPr>
        <w:jc w:val="center"/>
        <w:rPr>
          <w:rFonts w:hint="default" w:ascii="宋体" w:hAnsi="宋体" w:eastAsia="宋体" w:cs="宋体"/>
          <w:b/>
          <w:bCs/>
          <w:color w:val="auto"/>
          <w:sz w:val="21"/>
          <w:szCs w:val="21"/>
          <w:lang w:val="en-US" w:eastAsia="zh-CN"/>
        </w:rPr>
      </w:pPr>
      <w:bookmarkStart w:id="0" w:name="_GoBack"/>
      <w:bookmarkEnd w:id="0"/>
      <w:r>
        <w:rPr>
          <w:rFonts w:hint="eastAsia" w:ascii="宋体" w:hAnsi="宋体" w:eastAsia="宋体" w:cs="宋体"/>
          <w:b/>
          <w:bCs/>
          <w:color w:val="auto"/>
          <w:sz w:val="21"/>
          <w:szCs w:val="21"/>
          <w:lang w:val="en-US" w:eastAsia="zh-CN"/>
        </w:rPr>
        <w:t>维保部执业人员综合能力考评试卷参考答案及解析</w:t>
      </w:r>
    </w:p>
    <w:p w14:paraId="2B202C3C">
      <w:pPr>
        <w:rPr>
          <w:rFonts w:hint="default" w:ascii="宋体" w:hAnsi="宋体" w:eastAsia="宋体" w:cs="宋体"/>
          <w:b/>
          <w:bCs/>
          <w:color w:val="auto"/>
          <w:sz w:val="22"/>
          <w:szCs w:val="22"/>
          <w:u w:val="single"/>
          <w:lang w:val="en-US" w:eastAsia="zh-CN"/>
        </w:rPr>
      </w:pPr>
      <w:r>
        <w:rPr>
          <w:rFonts w:hint="eastAsia" w:ascii="宋体" w:hAnsi="宋体" w:eastAsia="宋体" w:cs="宋体"/>
          <w:b/>
          <w:bCs/>
          <w:color w:val="auto"/>
          <w:sz w:val="22"/>
          <w:szCs w:val="22"/>
          <w:u w:val="single"/>
          <w:lang w:val="en-US" w:eastAsia="zh-CN"/>
        </w:rPr>
        <w:t>1-4选择题24分</w:t>
      </w:r>
    </w:p>
    <w:p w14:paraId="5AABFCE9">
      <w:pPr>
        <w:numPr>
          <w:ilvl w:val="0"/>
          <w:numId w:val="0"/>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1、①②③④⑤⑥  2、</w:t>
      </w:r>
    </w:p>
    <w:tbl>
      <w:tblPr>
        <w:tblStyle w:val="6"/>
        <w:tblW w:w="7740" w:type="dxa"/>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2"/>
        <w:gridCol w:w="1112"/>
        <w:gridCol w:w="925"/>
        <w:gridCol w:w="941"/>
      </w:tblGrid>
      <w:tr w14:paraId="7449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64ED46A3">
            <w:pPr>
              <w:numPr>
                <w:ilvl w:val="0"/>
                <w:numId w:val="0"/>
              </w:numPr>
              <w:jc w:val="both"/>
              <w:rPr>
                <w:rFonts w:hint="eastAsia" w:ascii="宋体" w:hAnsi="宋体" w:eastAsia="宋体" w:cs="宋体"/>
                <w:b w:val="0"/>
                <w:bCs w:val="0"/>
                <w:color w:val="auto"/>
                <w:sz w:val="21"/>
                <w:szCs w:val="21"/>
                <w:vertAlign w:val="baseline"/>
                <w:lang w:val="en-US" w:eastAsia="zh-CN"/>
              </w:rPr>
            </w:pPr>
          </w:p>
        </w:tc>
        <w:tc>
          <w:tcPr>
            <w:tcW w:w="1112" w:type="dxa"/>
            <w:vAlign w:val="center"/>
          </w:tcPr>
          <w:p w14:paraId="2CDBDA59">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K公司</w:t>
            </w:r>
          </w:p>
        </w:tc>
        <w:tc>
          <w:tcPr>
            <w:tcW w:w="925" w:type="dxa"/>
            <w:vAlign w:val="center"/>
          </w:tcPr>
          <w:p w14:paraId="7895909C">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李某</w:t>
            </w:r>
          </w:p>
        </w:tc>
        <w:tc>
          <w:tcPr>
            <w:tcW w:w="941" w:type="dxa"/>
            <w:vAlign w:val="center"/>
          </w:tcPr>
          <w:p w14:paraId="2C3063A5">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陈某</w:t>
            </w:r>
          </w:p>
        </w:tc>
      </w:tr>
      <w:tr w14:paraId="471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7C631FB3">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处罚</w:t>
            </w:r>
            <w:r>
              <w:rPr>
                <w:rFonts w:hint="eastAsia" w:ascii="宋体" w:hAnsi="宋体" w:eastAsia="宋体" w:cs="宋体"/>
                <w:b w:val="0"/>
                <w:bCs w:val="0"/>
                <w:color w:val="auto"/>
                <w:sz w:val="21"/>
                <w:szCs w:val="21"/>
                <w:lang w:val="en-US" w:eastAsia="zh-CN"/>
              </w:rPr>
              <w:t>50000元-100000元</w:t>
            </w:r>
          </w:p>
        </w:tc>
        <w:tc>
          <w:tcPr>
            <w:tcW w:w="1112" w:type="dxa"/>
            <w:vAlign w:val="center"/>
          </w:tcPr>
          <w:p w14:paraId="5A8CB885">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25" w:type="dxa"/>
            <w:vAlign w:val="center"/>
          </w:tcPr>
          <w:p w14:paraId="2FF58FA1">
            <w:pPr>
              <w:numPr>
                <w:ilvl w:val="0"/>
                <w:numId w:val="0"/>
              </w:numPr>
              <w:jc w:val="center"/>
              <w:rPr>
                <w:rFonts w:hint="eastAsia" w:ascii="宋体" w:hAnsi="宋体" w:eastAsia="宋体" w:cs="宋体"/>
                <w:b w:val="0"/>
                <w:bCs w:val="0"/>
                <w:color w:val="auto"/>
                <w:sz w:val="21"/>
                <w:szCs w:val="21"/>
                <w:vertAlign w:val="baseline"/>
                <w:lang w:val="en-US" w:eastAsia="zh-CN"/>
              </w:rPr>
            </w:pPr>
          </w:p>
        </w:tc>
        <w:tc>
          <w:tcPr>
            <w:tcW w:w="941" w:type="dxa"/>
            <w:vAlign w:val="center"/>
          </w:tcPr>
          <w:p w14:paraId="5EAD717B">
            <w:pPr>
              <w:numPr>
                <w:ilvl w:val="0"/>
                <w:numId w:val="0"/>
              </w:numPr>
              <w:jc w:val="center"/>
              <w:rPr>
                <w:rFonts w:hint="eastAsia" w:ascii="宋体" w:hAnsi="宋体" w:eastAsia="宋体" w:cs="宋体"/>
                <w:b w:val="0"/>
                <w:bCs w:val="0"/>
                <w:color w:val="auto"/>
                <w:sz w:val="21"/>
                <w:szCs w:val="21"/>
                <w:vertAlign w:val="baseline"/>
                <w:lang w:val="en-US" w:eastAsia="zh-CN"/>
              </w:rPr>
            </w:pPr>
          </w:p>
        </w:tc>
      </w:tr>
      <w:tr w14:paraId="359B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01047887">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处罚</w:t>
            </w:r>
            <w:r>
              <w:rPr>
                <w:rFonts w:hint="eastAsia" w:ascii="宋体" w:hAnsi="宋体" w:eastAsia="宋体" w:cs="宋体"/>
                <w:b w:val="0"/>
                <w:bCs w:val="0"/>
                <w:color w:val="auto"/>
                <w:sz w:val="21"/>
                <w:szCs w:val="21"/>
                <w:lang w:val="en-US" w:eastAsia="zh-CN"/>
              </w:rPr>
              <w:t>10000元-50000元</w:t>
            </w:r>
          </w:p>
        </w:tc>
        <w:tc>
          <w:tcPr>
            <w:tcW w:w="1112" w:type="dxa"/>
            <w:vAlign w:val="center"/>
          </w:tcPr>
          <w:p w14:paraId="7CFB28E3">
            <w:pPr>
              <w:numPr>
                <w:ilvl w:val="0"/>
                <w:numId w:val="0"/>
              </w:numPr>
              <w:jc w:val="center"/>
              <w:rPr>
                <w:rFonts w:hint="eastAsia" w:ascii="宋体" w:hAnsi="宋体" w:eastAsia="宋体" w:cs="宋体"/>
                <w:b w:val="0"/>
                <w:bCs w:val="0"/>
                <w:color w:val="auto"/>
                <w:sz w:val="21"/>
                <w:szCs w:val="21"/>
                <w:vertAlign w:val="baseline"/>
                <w:lang w:val="en-US" w:eastAsia="zh-CN"/>
              </w:rPr>
            </w:pPr>
          </w:p>
        </w:tc>
        <w:tc>
          <w:tcPr>
            <w:tcW w:w="925" w:type="dxa"/>
            <w:vAlign w:val="center"/>
          </w:tcPr>
          <w:p w14:paraId="57234EEE">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41" w:type="dxa"/>
            <w:vAlign w:val="center"/>
          </w:tcPr>
          <w:p w14:paraId="58FB419D">
            <w:pPr>
              <w:numPr>
                <w:ilvl w:val="0"/>
                <w:numId w:val="0"/>
              </w:numPr>
              <w:jc w:val="center"/>
              <w:rPr>
                <w:rFonts w:hint="eastAsia" w:ascii="宋体" w:hAnsi="宋体" w:eastAsia="宋体" w:cs="宋体"/>
                <w:b w:val="0"/>
                <w:bCs w:val="0"/>
                <w:color w:val="auto"/>
                <w:sz w:val="21"/>
                <w:szCs w:val="21"/>
                <w:vertAlign w:val="baseline"/>
                <w:lang w:val="en-US" w:eastAsia="zh-CN"/>
              </w:rPr>
            </w:pPr>
          </w:p>
        </w:tc>
      </w:tr>
      <w:tr w14:paraId="66D6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0B9498C6">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eastAsia="zh-CN"/>
              </w:rPr>
              <w:t>对个人处10日以上15日以下拘留</w:t>
            </w:r>
          </w:p>
        </w:tc>
        <w:tc>
          <w:tcPr>
            <w:tcW w:w="1112" w:type="dxa"/>
            <w:vAlign w:val="center"/>
          </w:tcPr>
          <w:p w14:paraId="25F2BBB0">
            <w:pPr>
              <w:numPr>
                <w:ilvl w:val="0"/>
                <w:numId w:val="0"/>
              </w:numPr>
              <w:jc w:val="center"/>
              <w:rPr>
                <w:rFonts w:hint="eastAsia" w:ascii="宋体" w:hAnsi="宋体" w:eastAsia="宋体" w:cs="宋体"/>
                <w:b w:val="0"/>
                <w:bCs w:val="0"/>
                <w:color w:val="auto"/>
                <w:sz w:val="21"/>
                <w:szCs w:val="21"/>
                <w:vertAlign w:val="baseline"/>
                <w:lang w:val="en-US" w:eastAsia="zh-CN"/>
              </w:rPr>
            </w:pPr>
          </w:p>
        </w:tc>
        <w:tc>
          <w:tcPr>
            <w:tcW w:w="925" w:type="dxa"/>
            <w:vAlign w:val="center"/>
          </w:tcPr>
          <w:p w14:paraId="00FCDC74">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41" w:type="dxa"/>
            <w:vAlign w:val="center"/>
          </w:tcPr>
          <w:p w14:paraId="6E389E29">
            <w:pPr>
              <w:numPr>
                <w:ilvl w:val="0"/>
                <w:numId w:val="0"/>
              </w:numPr>
              <w:jc w:val="center"/>
              <w:rPr>
                <w:rFonts w:hint="eastAsia" w:ascii="宋体" w:hAnsi="宋体" w:eastAsia="宋体" w:cs="宋体"/>
                <w:b w:val="0"/>
                <w:bCs w:val="0"/>
                <w:color w:val="auto"/>
                <w:sz w:val="21"/>
                <w:szCs w:val="21"/>
                <w:vertAlign w:val="baseline"/>
                <w:lang w:val="en-US" w:eastAsia="zh-CN"/>
              </w:rPr>
            </w:pPr>
          </w:p>
        </w:tc>
      </w:tr>
      <w:tr w14:paraId="5E7E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224C04FD">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eastAsia="zh-CN"/>
              </w:rPr>
              <w:t>给他人造成损失的，依法承担赔偿责任</w:t>
            </w:r>
          </w:p>
        </w:tc>
        <w:tc>
          <w:tcPr>
            <w:tcW w:w="1112" w:type="dxa"/>
            <w:vAlign w:val="center"/>
          </w:tcPr>
          <w:p w14:paraId="27FC8116">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25" w:type="dxa"/>
            <w:vAlign w:val="center"/>
          </w:tcPr>
          <w:p w14:paraId="1B704B89">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41" w:type="dxa"/>
            <w:shd w:val="clear" w:color="auto" w:fill="auto"/>
            <w:vAlign w:val="center"/>
          </w:tcPr>
          <w:p w14:paraId="21384B72">
            <w:pPr>
              <w:numPr>
                <w:ilvl w:val="0"/>
                <w:numId w:val="0"/>
              </w:numPr>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default" w:ascii="Arial" w:hAnsi="Arial" w:eastAsia="宋体" w:cs="Arial"/>
                <w:b w:val="0"/>
                <w:bCs w:val="0"/>
                <w:color w:val="auto"/>
                <w:sz w:val="21"/>
                <w:szCs w:val="21"/>
                <w:lang w:val="en-US" w:eastAsia="zh-CN"/>
              </w:rPr>
              <w:t>√</w:t>
            </w:r>
          </w:p>
        </w:tc>
      </w:tr>
      <w:tr w14:paraId="3B06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7A84C452">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需根据事故灾害的程度承担相应的刑事责任</w:t>
            </w:r>
          </w:p>
        </w:tc>
        <w:tc>
          <w:tcPr>
            <w:tcW w:w="1112" w:type="dxa"/>
            <w:vAlign w:val="center"/>
          </w:tcPr>
          <w:p w14:paraId="1BD1B338">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25" w:type="dxa"/>
            <w:vAlign w:val="center"/>
          </w:tcPr>
          <w:p w14:paraId="2E277C43">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41" w:type="dxa"/>
            <w:shd w:val="clear" w:color="auto" w:fill="auto"/>
            <w:vAlign w:val="center"/>
          </w:tcPr>
          <w:p w14:paraId="3344BC36">
            <w:pPr>
              <w:numPr>
                <w:ilvl w:val="0"/>
                <w:numId w:val="0"/>
              </w:numPr>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default" w:ascii="Arial" w:hAnsi="Arial" w:eastAsia="宋体" w:cs="Arial"/>
                <w:b w:val="0"/>
                <w:bCs w:val="0"/>
                <w:color w:val="auto"/>
                <w:sz w:val="21"/>
                <w:szCs w:val="21"/>
                <w:lang w:val="en-US" w:eastAsia="zh-CN"/>
              </w:rPr>
              <w:t>√</w:t>
            </w:r>
          </w:p>
        </w:tc>
      </w:tr>
      <w:tr w14:paraId="7D9D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0CD49BFC">
            <w:pPr>
              <w:numPr>
                <w:ilvl w:val="0"/>
                <w:numId w:val="0"/>
              </w:numPr>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个人行业从业资格证书被吊销，三年内不得再执业</w:t>
            </w:r>
          </w:p>
        </w:tc>
        <w:tc>
          <w:tcPr>
            <w:tcW w:w="1112" w:type="dxa"/>
            <w:vAlign w:val="center"/>
          </w:tcPr>
          <w:p w14:paraId="2A8BD796">
            <w:pPr>
              <w:numPr>
                <w:ilvl w:val="0"/>
                <w:numId w:val="0"/>
              </w:numPr>
              <w:jc w:val="center"/>
              <w:rPr>
                <w:rFonts w:hint="eastAsia" w:ascii="宋体" w:hAnsi="宋体" w:eastAsia="宋体" w:cs="宋体"/>
                <w:b w:val="0"/>
                <w:bCs w:val="0"/>
                <w:color w:val="auto"/>
                <w:sz w:val="21"/>
                <w:szCs w:val="21"/>
                <w:vertAlign w:val="baseline"/>
                <w:lang w:val="en-US" w:eastAsia="zh-CN"/>
              </w:rPr>
            </w:pPr>
          </w:p>
        </w:tc>
        <w:tc>
          <w:tcPr>
            <w:tcW w:w="925" w:type="dxa"/>
            <w:vAlign w:val="center"/>
          </w:tcPr>
          <w:p w14:paraId="427847CD">
            <w:pPr>
              <w:numPr>
                <w:ilvl w:val="0"/>
                <w:numId w:val="0"/>
              </w:numPr>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41" w:type="dxa"/>
            <w:vAlign w:val="center"/>
          </w:tcPr>
          <w:p w14:paraId="58A93C08">
            <w:pPr>
              <w:numPr>
                <w:ilvl w:val="0"/>
                <w:numId w:val="0"/>
              </w:numPr>
              <w:jc w:val="center"/>
              <w:rPr>
                <w:rFonts w:hint="eastAsia" w:ascii="宋体" w:hAnsi="宋体" w:eastAsia="宋体" w:cs="宋体"/>
                <w:b w:val="0"/>
                <w:bCs w:val="0"/>
                <w:color w:val="auto"/>
                <w:sz w:val="21"/>
                <w:szCs w:val="21"/>
                <w:vertAlign w:val="baseline"/>
                <w:lang w:val="en-US" w:eastAsia="zh-CN"/>
              </w:rPr>
            </w:pPr>
          </w:p>
        </w:tc>
      </w:tr>
      <w:tr w14:paraId="1943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center"/>
          </w:tcPr>
          <w:p w14:paraId="16506D5B">
            <w:pPr>
              <w:numPr>
                <w:ilvl w:val="0"/>
                <w:numId w:val="0"/>
              </w:num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机构营业执照被吊销</w:t>
            </w:r>
          </w:p>
        </w:tc>
        <w:tc>
          <w:tcPr>
            <w:tcW w:w="1112" w:type="dxa"/>
            <w:vAlign w:val="center"/>
          </w:tcPr>
          <w:p w14:paraId="1783DD52">
            <w:pPr>
              <w:numPr>
                <w:ilvl w:val="0"/>
                <w:numId w:val="0"/>
              </w:numPr>
              <w:ind w:firstLine="306" w:firstLineChars="0"/>
              <w:jc w:val="center"/>
              <w:rPr>
                <w:rFonts w:hint="eastAsia"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lang w:val="en-US" w:eastAsia="zh-CN"/>
              </w:rPr>
              <w:t>√</w:t>
            </w:r>
          </w:p>
        </w:tc>
        <w:tc>
          <w:tcPr>
            <w:tcW w:w="925" w:type="dxa"/>
            <w:vAlign w:val="center"/>
          </w:tcPr>
          <w:p w14:paraId="50C18218">
            <w:pPr>
              <w:numPr>
                <w:ilvl w:val="0"/>
                <w:numId w:val="0"/>
              </w:numPr>
              <w:jc w:val="center"/>
              <w:rPr>
                <w:rFonts w:hint="eastAsia" w:ascii="宋体" w:hAnsi="宋体" w:eastAsia="宋体" w:cs="宋体"/>
                <w:b w:val="0"/>
                <w:bCs w:val="0"/>
                <w:color w:val="auto"/>
                <w:sz w:val="21"/>
                <w:szCs w:val="21"/>
                <w:vertAlign w:val="baseline"/>
                <w:lang w:val="en-US" w:eastAsia="zh-CN"/>
              </w:rPr>
            </w:pPr>
          </w:p>
        </w:tc>
        <w:tc>
          <w:tcPr>
            <w:tcW w:w="941" w:type="dxa"/>
            <w:vAlign w:val="center"/>
          </w:tcPr>
          <w:p w14:paraId="33E2C664">
            <w:pPr>
              <w:numPr>
                <w:ilvl w:val="0"/>
                <w:numId w:val="0"/>
              </w:numPr>
              <w:jc w:val="center"/>
              <w:rPr>
                <w:rFonts w:hint="eastAsia" w:ascii="宋体" w:hAnsi="宋体" w:eastAsia="宋体" w:cs="宋体"/>
                <w:b w:val="0"/>
                <w:bCs w:val="0"/>
                <w:color w:val="auto"/>
                <w:sz w:val="21"/>
                <w:szCs w:val="21"/>
                <w:vertAlign w:val="baseline"/>
                <w:lang w:val="en-US" w:eastAsia="zh-CN"/>
              </w:rPr>
            </w:pPr>
          </w:p>
        </w:tc>
      </w:tr>
    </w:tbl>
    <w:p w14:paraId="7087CEB4">
      <w:pPr>
        <w:numPr>
          <w:ilvl w:val="0"/>
          <w:numId w:val="3"/>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D      4、DE</w:t>
      </w:r>
    </w:p>
    <w:p w14:paraId="7298F604">
      <w:pPr>
        <w:rPr>
          <w:rFonts w:hint="default" w:ascii="宋体" w:hAnsi="宋体" w:eastAsia="宋体" w:cs="宋体"/>
          <w:b/>
          <w:bCs/>
          <w:color w:val="auto"/>
          <w:sz w:val="22"/>
          <w:szCs w:val="22"/>
          <w:u w:val="single"/>
          <w:lang w:val="en-US" w:eastAsia="zh-CN"/>
        </w:rPr>
      </w:pPr>
      <w:r>
        <w:rPr>
          <w:rFonts w:hint="eastAsia" w:ascii="宋体" w:hAnsi="宋体" w:eastAsia="宋体" w:cs="宋体"/>
          <w:b/>
          <w:bCs/>
          <w:color w:val="auto"/>
          <w:sz w:val="22"/>
          <w:szCs w:val="22"/>
          <w:u w:val="single"/>
          <w:lang w:val="en-US" w:eastAsia="zh-CN"/>
        </w:rPr>
        <w:t>5-26判断题：42分</w:t>
      </w:r>
    </w:p>
    <w:p w14:paraId="6C06F2F1">
      <w:pPr>
        <w:numPr>
          <w:ilvl w:val="0"/>
          <w:numId w:val="0"/>
        </w:numPr>
        <w:ind w:left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5、X   6、X   7、X   8、</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9、X   10、</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11、</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12、X  13、X  14、</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15、</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w:t>
      </w:r>
    </w:p>
    <w:p w14:paraId="387C18F9">
      <w:pPr>
        <w:numPr>
          <w:ilvl w:val="0"/>
          <w:numId w:val="0"/>
        </w:numPr>
        <w:ind w:left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17、X  18、X  19、</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20、</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21、</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22、X  23、</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24、X  25、</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26、</w:t>
      </w:r>
      <w:r>
        <w:rPr>
          <w:rFonts w:hint="default" w:ascii="Arial" w:hAnsi="Arial" w:eastAsia="宋体" w:cs="Arial"/>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w:t>
      </w:r>
    </w:p>
    <w:p w14:paraId="411F0A83">
      <w:pPr>
        <w:rPr>
          <w:rFonts w:hint="eastAsia" w:ascii="宋体" w:hAnsi="宋体" w:eastAsia="宋体" w:cs="宋体"/>
          <w:b/>
          <w:bCs/>
          <w:color w:val="auto"/>
          <w:sz w:val="22"/>
          <w:szCs w:val="22"/>
          <w:u w:val="single"/>
          <w:lang w:val="en-US" w:eastAsia="zh-CN"/>
        </w:rPr>
      </w:pPr>
      <w:r>
        <w:rPr>
          <w:rFonts w:hint="eastAsia" w:ascii="宋体" w:hAnsi="宋体" w:eastAsia="宋体" w:cs="宋体"/>
          <w:b/>
          <w:bCs/>
          <w:color w:val="auto"/>
          <w:sz w:val="22"/>
          <w:szCs w:val="22"/>
          <w:u w:val="single"/>
          <w:lang w:val="en-US" w:eastAsia="zh-CN"/>
        </w:rPr>
        <w:t>27-34填空题36分</w:t>
      </w:r>
    </w:p>
    <w:p w14:paraId="0853C3DE">
      <w:pPr>
        <w:numPr>
          <w:ilvl w:val="0"/>
          <w:numId w:val="0"/>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27、60  30  28、70%  30%  25%  29、数量、尺寸、规格型号 30、签到 出具维保报告或报告出具  31、200 300   32、1   2   3   8   33、0.5或0.7   34、测五点平均法</w:t>
      </w:r>
    </w:p>
    <w:p w14:paraId="700DAE0A">
      <w:pPr>
        <w:rPr>
          <w:rFonts w:hint="default" w:ascii="宋体" w:hAnsi="宋体" w:eastAsia="宋体" w:cs="宋体"/>
          <w:b/>
          <w:bCs/>
          <w:color w:val="auto"/>
          <w:sz w:val="22"/>
          <w:szCs w:val="22"/>
          <w:u w:val="single"/>
          <w:lang w:val="en-US" w:eastAsia="zh-CN"/>
        </w:rPr>
      </w:pPr>
      <w:r>
        <w:rPr>
          <w:rFonts w:hint="eastAsia" w:ascii="宋体" w:hAnsi="宋体" w:eastAsia="宋体" w:cs="宋体"/>
          <w:b/>
          <w:bCs/>
          <w:color w:val="auto"/>
          <w:sz w:val="22"/>
          <w:szCs w:val="22"/>
          <w:u w:val="single"/>
          <w:lang w:val="en-US" w:eastAsia="zh-CN"/>
        </w:rPr>
        <w:t>35-41简答题：48分</w:t>
      </w:r>
    </w:p>
    <w:p w14:paraId="18BBB27B">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35、现场控制柜手动启动；消控室远程手动启动；高位水箱出口流量开关连锁启动；低压压力开关连锁启动；报警阀压力开关连锁启动；联动控制器联动启动；现场机械应急手动启动</w:t>
      </w:r>
    </w:p>
    <w:p w14:paraId="73DCA874">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36、人员密集的公共建筑、建筑高度大于100m的建筑、建筑面积大于200m2的商业服务网点内应设置消防软管卷盘或轻便消防龙头</w:t>
      </w:r>
    </w:p>
    <w:p w14:paraId="77BDE136">
      <w:pPr>
        <w:numPr>
          <w:ilvl w:val="0"/>
          <w:numId w:val="0"/>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37、水泵接合器的标识标牌应标明</w:t>
      </w:r>
      <w:r>
        <w:rPr>
          <w:rFonts w:hint="eastAsia" w:ascii="宋体" w:hAnsi="宋体" w:eastAsia="宋体" w:cs="宋体"/>
          <w:b/>
          <w:bCs/>
          <w:color w:val="auto"/>
          <w:sz w:val="21"/>
          <w:szCs w:val="21"/>
          <w:lang w:val="en-US" w:eastAsia="zh-CN"/>
        </w:rPr>
        <w:t>供水系统、供水范围和额定压力</w:t>
      </w:r>
    </w:p>
    <w:p w14:paraId="57671FD0">
      <w:pPr>
        <w:numPr>
          <w:ilvl w:val="0"/>
          <w:numId w:val="0"/>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38、新规要求消防联动时全楼或全地下室启动全部的消防广播扬声器，每个扬声器5W、3W或1W，其合计的总功率远超单台功率放大器的额定功率值，需进行分层或分区域进行挂载。</w:t>
      </w:r>
    </w:p>
    <w:p w14:paraId="5F91AA8D">
      <w:pPr>
        <w:numPr>
          <w:ilvl w:val="0"/>
          <w:numId w:val="0"/>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39、 联动程式表达</w:t>
      </w:r>
      <w:r>
        <w:rPr>
          <w:rFonts w:hint="eastAsia"/>
        </w:rPr>
        <w:t>：当0100</w:t>
      </w:r>
      <w:r>
        <w:rPr>
          <w:rFonts w:hint="eastAsia"/>
          <w:lang w:val="en-US" w:eastAsia="zh-CN"/>
        </w:rPr>
        <w:t>09</w:t>
      </w:r>
      <w:r>
        <w:rPr>
          <w:rFonts w:hint="eastAsia"/>
        </w:rPr>
        <w:t>号点型感</w:t>
      </w:r>
      <w:r>
        <w:rPr>
          <w:rFonts w:hint="eastAsia"/>
          <w:lang w:val="en-US" w:eastAsia="zh-CN"/>
        </w:rPr>
        <w:t>温</w:t>
      </w:r>
      <w:r>
        <w:rPr>
          <w:rFonts w:hint="eastAsia"/>
        </w:rPr>
        <w:t>探测器</w:t>
      </w:r>
      <w:r>
        <w:rPr>
          <w:rFonts w:hint="eastAsia"/>
          <w:lang w:val="en-US" w:eastAsia="zh-CN"/>
        </w:rPr>
        <w:t>与</w:t>
      </w:r>
      <w:r>
        <w:rPr>
          <w:rFonts w:hint="eastAsia"/>
        </w:rPr>
        <w:t>01001</w:t>
      </w:r>
      <w:r>
        <w:t>0</w:t>
      </w:r>
      <w:r>
        <w:rPr>
          <w:rFonts w:hint="eastAsia"/>
        </w:rPr>
        <w:t>号点型感烟探测器</w:t>
      </w:r>
      <w:r>
        <w:rPr>
          <w:rFonts w:hint="eastAsia"/>
          <w:lang w:val="en-US" w:eastAsia="zh-CN"/>
        </w:rPr>
        <w:t>同时</w:t>
      </w:r>
      <w:r>
        <w:rPr>
          <w:rFonts w:hint="eastAsia"/>
        </w:rPr>
        <w:t>报警或0</w:t>
      </w:r>
      <w:r>
        <w:t>1</w:t>
      </w:r>
      <w:r>
        <w:rPr>
          <w:rFonts w:hint="eastAsia"/>
        </w:rPr>
        <w:t>0011号</w:t>
      </w:r>
      <w:r>
        <w:rPr>
          <w:rFonts w:hint="eastAsia"/>
          <w:lang w:val="en-US" w:eastAsia="zh-CN"/>
        </w:rPr>
        <w:t>手动报警按钮</w:t>
      </w:r>
      <w:r>
        <w:rPr>
          <w:rFonts w:hint="eastAsia"/>
        </w:rPr>
        <w:t>报警时，010012 号</w:t>
      </w:r>
      <w:r>
        <w:rPr>
          <w:rFonts w:hint="eastAsia"/>
          <w:lang w:val="en-US" w:eastAsia="zh-CN"/>
        </w:rPr>
        <w:t>消防广播</w:t>
      </w:r>
      <w:r>
        <w:rPr>
          <w:rFonts w:hint="eastAsia"/>
        </w:rPr>
        <w:t>延时</w:t>
      </w:r>
      <w:r>
        <w:rPr>
          <w:rFonts w:hint="eastAsia"/>
          <w:lang w:val="en-US" w:eastAsia="zh-CN"/>
        </w:rPr>
        <w:t>5</w:t>
      </w:r>
      <w:r>
        <w:rPr>
          <w:rFonts w:hint="eastAsia"/>
        </w:rPr>
        <w:t>秒启动，01001</w:t>
      </w:r>
      <w:r>
        <w:rPr>
          <w:rFonts w:hint="eastAsia"/>
          <w:lang w:val="en-US" w:eastAsia="zh-CN"/>
        </w:rPr>
        <w:t>3</w:t>
      </w:r>
      <w:r>
        <w:rPr>
          <w:rFonts w:hint="eastAsia"/>
        </w:rPr>
        <w:t xml:space="preserve"> 号讯响器立即启动，01001</w:t>
      </w:r>
      <w:r>
        <w:rPr>
          <w:rFonts w:hint="eastAsia"/>
          <w:lang w:val="en-US" w:eastAsia="zh-CN"/>
        </w:rPr>
        <w:t>9</w:t>
      </w:r>
      <w:r>
        <w:rPr>
          <w:rFonts w:hint="eastAsia"/>
        </w:rPr>
        <w:t>号排烟机延时10秒启动</w:t>
      </w:r>
    </w:p>
    <w:p w14:paraId="7445011A">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40、民用建筑排烟设施设置场所：1）设置在一、二、三层且房间建筑面积大于100m2和设置在四层及以上或地下、半地下的歌舞娱乐放映游艺场所。2）中庭。3）公共建筑中建筑面积大于100m2且经常有人停留的地上房间和建筑面积大于300m2且可燃物较多的地上房间。4）建筑中长度大于20m的疏散走道。5）封闭房间超过50m2；</w:t>
      </w:r>
    </w:p>
    <w:p w14:paraId="7FE46C5B">
      <w:pPr>
        <w:numPr>
          <w:ilvl w:val="0"/>
          <w:numId w:val="0"/>
        </w:num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条件：</w:t>
      </w:r>
      <w:r>
        <w:rPr>
          <w:rFonts w:hint="eastAsia"/>
          <w:u w:val="none"/>
          <w:lang w:val="en-US" w:eastAsia="zh-CN"/>
        </w:rPr>
        <w:t>开窗面积约大于实际排烟区域面积的2%以上</w:t>
      </w:r>
    </w:p>
    <w:p w14:paraId="6A2ACAE7">
      <w:pPr>
        <w:spacing w:after="60" w:line="160" w:lineRule="atLeast"/>
        <w:ind w:right="-340"/>
        <w:rPr>
          <w:rFonts w:hint="eastAsia"/>
          <w:b w:val="0"/>
          <w:bCs w:val="0"/>
          <w:u w:val="none"/>
        </w:rPr>
      </w:pPr>
      <w:r>
        <w:rPr>
          <w:rFonts w:hint="eastAsia"/>
          <w:u w:val="none"/>
          <w:lang w:val="en-US" w:eastAsia="zh-CN"/>
        </w:rPr>
        <w:t>41、设置了消防电梯就必须设置消防电梯前室。每一个防火分区必有一部消防电梯。</w:t>
      </w:r>
      <w:r>
        <w:rPr>
          <w:rFonts w:hint="eastAsia"/>
          <w:b w:val="0"/>
          <w:bCs w:val="0"/>
          <w:u w:val="none"/>
          <w:lang w:val="en-US" w:eastAsia="zh-CN"/>
        </w:rPr>
        <w:t>消防电梯和普通客梯均可设置有红色的应急迫降按钮</w:t>
      </w:r>
      <w:r>
        <w:rPr>
          <w:rFonts w:hint="eastAsia"/>
          <w:b w:val="0"/>
          <w:bCs w:val="0"/>
          <w:u w:val="none"/>
        </w:rPr>
        <w:t>。</w:t>
      </w:r>
    </w:p>
    <w:p w14:paraId="490519C6">
      <w:pPr>
        <w:pStyle w:val="8"/>
        <w:numPr>
          <w:ilvl w:val="0"/>
          <w:numId w:val="4"/>
        </w:numPr>
        <w:spacing w:after="60" w:line="160" w:lineRule="atLeast"/>
        <w:ind w:left="284" w:right="-340" w:hanging="284"/>
        <w:rPr>
          <w:u w:val="none"/>
        </w:rPr>
      </w:pPr>
      <w:r>
        <w:rPr>
          <w:rFonts w:hint="eastAsia"/>
          <w:u w:val="none"/>
          <w:lang w:val="en-US" w:eastAsia="zh-CN"/>
        </w:rPr>
        <w:t>按下“应急迫降按钮”，消防电梯必须及时迫降至一层，梯门打开，亮灯</w:t>
      </w:r>
      <w:r>
        <w:rPr>
          <w:rFonts w:hint="eastAsia"/>
          <w:u w:val="none"/>
        </w:rPr>
        <w:t>；</w:t>
      </w:r>
    </w:p>
    <w:p w14:paraId="33790E35">
      <w:pPr>
        <w:pStyle w:val="8"/>
        <w:numPr>
          <w:ilvl w:val="0"/>
          <w:numId w:val="4"/>
        </w:numPr>
        <w:spacing w:after="60" w:line="160" w:lineRule="atLeast"/>
        <w:ind w:left="284" w:right="-340" w:hanging="284"/>
        <w:rPr>
          <w:u w:val="none"/>
        </w:rPr>
      </w:pPr>
      <w:r>
        <w:rPr>
          <w:rFonts w:hint="eastAsia"/>
          <w:u w:val="none"/>
          <w:lang w:val="en-US" w:eastAsia="zh-CN"/>
        </w:rPr>
        <w:t>进梯后，需长按楼层键和闭门键，方可达到制定楼层。</w:t>
      </w:r>
    </w:p>
    <w:p w14:paraId="4BFF3314">
      <w:pPr>
        <w:pStyle w:val="8"/>
        <w:numPr>
          <w:ilvl w:val="0"/>
          <w:numId w:val="4"/>
        </w:numPr>
        <w:spacing w:after="60" w:line="160" w:lineRule="atLeast"/>
        <w:ind w:left="284" w:right="-340" w:hanging="284"/>
        <w:rPr>
          <w:u w:val="none"/>
        </w:rPr>
      </w:pPr>
      <w:r>
        <w:rPr>
          <w:rFonts w:hint="eastAsia"/>
          <w:u w:val="none"/>
          <w:lang w:val="en-US" w:eastAsia="zh-CN"/>
        </w:rPr>
        <w:t>达到指定层后，梯门不自动开启，需长按开门键方可开门，一旦松手，梯门立马关闭。</w:t>
      </w:r>
    </w:p>
    <w:p w14:paraId="3F668EF2">
      <w:pPr>
        <w:pStyle w:val="8"/>
        <w:numPr>
          <w:ilvl w:val="0"/>
          <w:numId w:val="4"/>
        </w:numPr>
        <w:spacing w:after="60" w:line="160" w:lineRule="atLeast"/>
        <w:ind w:left="284" w:right="-340" w:hanging="284"/>
        <w:rPr>
          <w:u w:val="none"/>
        </w:rPr>
      </w:pPr>
      <w:r>
        <w:rPr>
          <w:rFonts w:hint="eastAsia"/>
          <w:u w:val="none"/>
          <w:lang w:val="en-US" w:eastAsia="zh-CN"/>
        </w:rPr>
        <w:t>需下楼时也要长按指令按钮，达到一层后自动开门。</w:t>
      </w:r>
    </w:p>
    <w:p w14:paraId="4C906564">
      <w:pPr>
        <w:pStyle w:val="8"/>
        <w:numPr>
          <w:ilvl w:val="0"/>
          <w:numId w:val="4"/>
        </w:numPr>
        <w:spacing w:after="60" w:line="160" w:lineRule="atLeast"/>
        <w:ind w:left="284" w:right="-340" w:hanging="284"/>
        <w:rPr>
          <w:u w:val="none"/>
        </w:rPr>
      </w:pPr>
      <w:r>
        <w:rPr>
          <w:rFonts w:hint="eastAsia"/>
          <w:u w:val="none"/>
          <w:lang w:val="en-US" w:eastAsia="zh-CN"/>
        </w:rPr>
        <w:t>销控主机应可以收到电梯迫降的反馈信息</w:t>
      </w:r>
    </w:p>
    <w:p w14:paraId="44DFAE66">
      <w:pPr>
        <w:pStyle w:val="8"/>
        <w:numPr>
          <w:ilvl w:val="0"/>
          <w:numId w:val="0"/>
        </w:numPr>
        <w:spacing w:after="60" w:line="160" w:lineRule="atLeast"/>
        <w:ind w:leftChars="0" w:right="-340" w:rightChars="0"/>
        <w:rPr>
          <w:rFonts w:hint="default"/>
          <w:u w:val="none"/>
          <w:lang w:val="en-US"/>
        </w:rPr>
      </w:pPr>
      <w:r>
        <w:rPr>
          <w:rFonts w:hint="eastAsia"/>
          <w:u w:val="none"/>
          <w:lang w:val="en-US" w:eastAsia="zh-CN"/>
        </w:rPr>
        <w:t>消防电梯和普通客梯不同之处：迫降时，客梯迫降后梯门开启，灯灭，所有按键失灵。</w:t>
      </w:r>
    </w:p>
    <w:p w14:paraId="042479D9">
      <w:pPr>
        <w:numPr>
          <w:ilvl w:val="0"/>
          <w:numId w:val="0"/>
        </w:numPr>
        <w:rPr>
          <w:rFonts w:hint="default" w:ascii="宋体" w:hAnsi="宋体" w:eastAsia="宋体" w:cs="宋体"/>
          <w:b w:val="0"/>
          <w:bCs w:val="0"/>
          <w:color w:val="auto"/>
          <w:sz w:val="21"/>
          <w:szCs w:val="21"/>
          <w:lang w:val="en-US" w:eastAsia="zh-CN"/>
        </w:rPr>
      </w:pPr>
    </w:p>
    <w:p w14:paraId="68F00296">
      <w:pPr>
        <w:keepNext w:val="0"/>
        <w:keepLines w:val="0"/>
        <w:pageBreakBefore/>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参考：</w:t>
      </w:r>
    </w:p>
    <w:p w14:paraId="095EA7EC">
      <w:pPr>
        <w:numPr>
          <w:ilvl w:val="0"/>
          <w:numId w:val="5"/>
        </w:numPr>
        <w:ind w:left="420" w:leftChars="0" w:hanging="42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《检验检测机构监督管理办法》（总局39号令）第十三条 检验检测机构不得出具不实检验检测报告。检验检测机构出具的检验检测报告存在下列情形之一，并且数据、结果存在错误或者无法复核的，属于不实检验检测报告：</w:t>
      </w:r>
    </w:p>
    <w:p w14:paraId="6B7FD9A0">
      <w:pPr>
        <w:numPr>
          <w:ilvl w:val="0"/>
          <w:numId w:val="5"/>
        </w:numPr>
        <w:ind w:left="420" w:leftChars="0" w:hanging="42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《刑法》第二百二十九条【提供虚假证明文件罪】 承担资产评估、验资、验证、会计、审计、法律服务、保荐、安全评价、环境影响评价、环境监测等职责的中介组织的人员故意提供虚假证明文件，情节严重的，处五年以下有期徒刑或者拘役，并处罚金；在涉及公共安全的重大工程、项目中提供虚假的安全评价、环境影响评价等证明文件，致使公共财产、国家和人民利益遭受特别重大损失的，处五年以上十年以下有期徒刑，并处罚金。</w:t>
      </w:r>
    </w:p>
    <w:p w14:paraId="0469E215">
      <w:pPr>
        <w:numPr>
          <w:ilvl w:val="0"/>
          <w:numId w:val="5"/>
        </w:numPr>
        <w:ind w:left="420" w:leftChars="0" w:hanging="42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消防法》第六十九条第一款：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并对有关责任人员采取终身市场禁入措施。</w:t>
      </w:r>
    </w:p>
    <w:p w14:paraId="1A9511A7">
      <w:pPr>
        <w:numPr>
          <w:ilvl w:val="0"/>
          <w:numId w:val="0"/>
        </w:numPr>
        <w:ind w:left="420" w:leftChars="20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前款规定的机构出具失实文件，给他人造成损失的，依法承担赔偿责任；造成重大损失的，由原许可机关依法责令停止执业或者吊销相应资质、资格，并对有关责任人员采取终身市场禁入措施。</w:t>
      </w:r>
    </w:p>
    <w:p w14:paraId="2C68D209">
      <w:pPr>
        <w:numPr>
          <w:ilvl w:val="0"/>
          <w:numId w:val="0"/>
        </w:numPr>
        <w:ind w:leftChars="0"/>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2953385" cy="1823085"/>
            <wp:effectExtent l="0" t="0" r="18415" b="57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953385" cy="1823085"/>
                    </a:xfrm>
                    <a:prstGeom prst="rect">
                      <a:avLst/>
                    </a:prstGeom>
                    <a:noFill/>
                    <a:ln w="9525">
                      <a:noFill/>
                    </a:ln>
                  </pic:spPr>
                </pic:pic>
              </a:graphicData>
            </a:graphic>
          </wp:inline>
        </w:drawing>
      </w:r>
    </w:p>
    <w:p w14:paraId="4D35EE20">
      <w:pPr>
        <w:numPr>
          <w:ilvl w:val="0"/>
          <w:numId w:val="0"/>
        </w:numPr>
        <w:ind w:leftChars="0"/>
        <w:rPr>
          <w:rFonts w:hint="eastAsia" w:eastAsiaTheme="minorEastAsia"/>
          <w:b w:val="0"/>
          <w:bCs w:val="0"/>
          <w:color w:val="auto"/>
          <w:sz w:val="28"/>
          <w:szCs w:val="28"/>
          <w:lang w:eastAsia="zh-CN"/>
        </w:rPr>
      </w:pPr>
      <w:r>
        <w:rPr>
          <w:rFonts w:hint="eastAsia" w:eastAsiaTheme="minorEastAsia"/>
          <w:b w:val="0"/>
          <w:bCs w:val="0"/>
          <w:color w:val="auto"/>
          <w:sz w:val="28"/>
          <w:szCs w:val="28"/>
          <w:lang w:eastAsia="zh-CN"/>
        </w:rPr>
        <w:drawing>
          <wp:inline distT="0" distB="0" distL="114300" distR="114300">
            <wp:extent cx="4260215" cy="2228215"/>
            <wp:effectExtent l="0" t="0" r="6985" b="635"/>
            <wp:docPr id="5" name="图片 5" descr="51068057e919f15dbf56e71496cc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068057e919f15dbf56e71496cc0fd"/>
                    <pic:cNvPicPr>
                      <a:picLocks noChangeAspect="1"/>
                    </pic:cNvPicPr>
                  </pic:nvPicPr>
                  <pic:blipFill>
                    <a:blip r:embed="rId6"/>
                    <a:stretch>
                      <a:fillRect/>
                    </a:stretch>
                  </pic:blipFill>
                  <pic:spPr>
                    <a:xfrm>
                      <a:off x="0" y="0"/>
                      <a:ext cx="4260215" cy="2228215"/>
                    </a:xfrm>
                    <a:prstGeom prst="rect">
                      <a:avLst/>
                    </a:prstGeom>
                  </pic:spPr>
                </pic:pic>
              </a:graphicData>
            </a:graphic>
          </wp:inline>
        </w:drawing>
      </w:r>
    </w:p>
    <w:p w14:paraId="21F7C22F">
      <w:pPr>
        <w:numPr>
          <w:ilvl w:val="0"/>
          <w:numId w:val="0"/>
        </w:numPr>
        <w:ind w:leftChars="0"/>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4771390" cy="1108075"/>
            <wp:effectExtent l="0" t="0" r="10160" b="1587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4771390" cy="1108075"/>
                    </a:xfrm>
                    <a:prstGeom prst="rect">
                      <a:avLst/>
                    </a:prstGeom>
                    <a:noFill/>
                    <a:ln w="9525">
                      <a:noFill/>
                    </a:ln>
                  </pic:spPr>
                </pic:pic>
              </a:graphicData>
            </a:graphic>
          </wp:inline>
        </w:drawing>
      </w:r>
    </w:p>
    <w:p w14:paraId="0003F78A">
      <w:pPr>
        <w:numPr>
          <w:ilvl w:val="0"/>
          <w:numId w:val="0"/>
        </w:numPr>
        <w:ind w:leftChars="0"/>
        <w:rPr>
          <w:rFonts w:hint="eastAsia" w:eastAsiaTheme="minorEastAsia"/>
          <w:b w:val="0"/>
          <w:bCs w:val="0"/>
          <w:color w:val="auto"/>
          <w:sz w:val="28"/>
          <w:szCs w:val="28"/>
          <w:lang w:eastAsia="zh-CN"/>
        </w:rPr>
      </w:pPr>
      <w:r>
        <w:rPr>
          <w:rFonts w:hint="eastAsia" w:eastAsiaTheme="minorEastAsia"/>
          <w:b w:val="0"/>
          <w:bCs w:val="0"/>
          <w:color w:val="auto"/>
          <w:sz w:val="28"/>
          <w:szCs w:val="28"/>
          <w:lang w:eastAsia="zh-CN"/>
        </w:rPr>
        <w:drawing>
          <wp:inline distT="0" distB="0" distL="114300" distR="114300">
            <wp:extent cx="3349625" cy="1163320"/>
            <wp:effectExtent l="0" t="0" r="3175" b="17780"/>
            <wp:docPr id="7" name="图片 7" descr="fc8f62c473669aaf1f250b362cf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c8f62c473669aaf1f250b362cf9026"/>
                    <pic:cNvPicPr>
                      <a:picLocks noChangeAspect="1"/>
                    </pic:cNvPicPr>
                  </pic:nvPicPr>
                  <pic:blipFill>
                    <a:blip r:embed="rId8"/>
                    <a:stretch>
                      <a:fillRect/>
                    </a:stretch>
                  </pic:blipFill>
                  <pic:spPr>
                    <a:xfrm>
                      <a:off x="0" y="0"/>
                      <a:ext cx="3349625" cy="1163320"/>
                    </a:xfrm>
                    <a:prstGeom prst="rect">
                      <a:avLst/>
                    </a:prstGeom>
                  </pic:spPr>
                </pic:pic>
              </a:graphicData>
            </a:graphic>
          </wp:inline>
        </w:drawing>
      </w:r>
    </w:p>
    <w:p w14:paraId="688611D9">
      <w:pPr>
        <w:numPr>
          <w:ilvl w:val="0"/>
          <w:numId w:val="0"/>
        </w:numPr>
        <w:ind w:leftChars="0"/>
        <w:rPr>
          <w:rFonts w:hint="eastAsia" w:eastAsiaTheme="minorEastAsia"/>
          <w:b w:val="0"/>
          <w:bCs w:val="0"/>
          <w:color w:val="auto"/>
          <w:sz w:val="28"/>
          <w:szCs w:val="28"/>
          <w:lang w:eastAsia="zh-CN"/>
        </w:rPr>
      </w:pPr>
    </w:p>
    <w:p w14:paraId="57711AE0">
      <w:pPr>
        <w:numPr>
          <w:ilvl w:val="0"/>
          <w:numId w:val="0"/>
        </w:numPr>
        <w:spacing w:after="60" w:line="160" w:lineRule="atLeast"/>
        <w:ind w:right="-340" w:rightChars="0"/>
        <w:rPr>
          <w:rFonts w:hint="eastAsia"/>
          <w:i w:val="0"/>
          <w:iCs w:val="0"/>
          <w:sz w:val="20"/>
          <w:szCs w:val="20"/>
          <w:u w:val="none"/>
          <w:lang w:val="en-US" w:eastAsia="zh-CN"/>
        </w:rPr>
      </w:pPr>
      <w:r>
        <w:rPr>
          <w:rFonts w:hint="eastAsia"/>
          <w:b w:val="0"/>
          <w:bCs w:val="0"/>
          <w:color w:val="auto"/>
          <w:sz w:val="28"/>
          <w:szCs w:val="28"/>
          <w:lang w:val="en-US" w:eastAsia="zh-CN"/>
        </w:rPr>
        <w:drawing>
          <wp:inline distT="0" distB="0" distL="114300" distR="114300">
            <wp:extent cx="4789805" cy="3888105"/>
            <wp:effectExtent l="0" t="0" r="10795" b="17145"/>
            <wp:docPr id="8" name="图片 8" descr="171333233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13332331566"/>
                    <pic:cNvPicPr>
                      <a:picLocks noChangeAspect="1"/>
                    </pic:cNvPicPr>
                  </pic:nvPicPr>
                  <pic:blipFill>
                    <a:blip r:embed="rId9"/>
                    <a:stretch>
                      <a:fillRect/>
                    </a:stretch>
                  </pic:blipFill>
                  <pic:spPr>
                    <a:xfrm>
                      <a:off x="0" y="0"/>
                      <a:ext cx="4789805" cy="3888105"/>
                    </a:xfrm>
                    <a:prstGeom prst="rect">
                      <a:avLst/>
                    </a:prstGeom>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91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4809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4809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5DEFD"/>
    <w:multiLevelType w:val="singleLevel"/>
    <w:tmpl w:val="C6B5DEFD"/>
    <w:lvl w:ilvl="0" w:tentative="0">
      <w:start w:val="1"/>
      <w:numFmt w:val="decimalEnclosedCircleChinese"/>
      <w:suff w:val="nothing"/>
      <w:lvlText w:val="%1　"/>
      <w:lvlJc w:val="left"/>
      <w:pPr>
        <w:ind w:left="0" w:firstLine="400"/>
      </w:pPr>
      <w:rPr>
        <w:rFonts w:hint="eastAsia"/>
      </w:rPr>
    </w:lvl>
  </w:abstractNum>
  <w:abstractNum w:abstractNumId="1">
    <w:nsid w:val="FE2996EC"/>
    <w:multiLevelType w:val="singleLevel"/>
    <w:tmpl w:val="FE2996EC"/>
    <w:lvl w:ilvl="0" w:tentative="0">
      <w:start w:val="2"/>
      <w:numFmt w:val="decimal"/>
      <w:suff w:val="nothing"/>
      <w:lvlText w:val="%1、"/>
      <w:lvlJc w:val="left"/>
    </w:lvl>
  </w:abstractNum>
  <w:abstractNum w:abstractNumId="2">
    <w:nsid w:val="133A79E4"/>
    <w:multiLevelType w:val="multilevel"/>
    <w:tmpl w:val="133A79E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2D30F5BA"/>
    <w:multiLevelType w:val="singleLevel"/>
    <w:tmpl w:val="2D30F5BA"/>
    <w:lvl w:ilvl="0" w:tentative="0">
      <w:start w:val="1"/>
      <w:numFmt w:val="bullet"/>
      <w:lvlText w:val=""/>
      <w:lvlJc w:val="left"/>
      <w:pPr>
        <w:ind w:left="420" w:hanging="420"/>
      </w:pPr>
      <w:rPr>
        <w:rFonts w:hint="default" w:ascii="Wingdings" w:hAnsi="Wingdings"/>
      </w:rPr>
    </w:lvl>
  </w:abstractNum>
  <w:abstractNum w:abstractNumId="4">
    <w:nsid w:val="6D4CA20D"/>
    <w:multiLevelType w:val="singleLevel"/>
    <w:tmpl w:val="6D4CA20D"/>
    <w:lvl w:ilvl="0" w:tentative="0">
      <w:start w:val="3"/>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TRiYmM1MGRjNGJkMDg5YWZhNThmMWEzYjA1YzEifQ=="/>
  </w:docVars>
  <w:rsids>
    <w:rsidRoot w:val="00000000"/>
    <w:rsid w:val="00BC3A1F"/>
    <w:rsid w:val="01A75507"/>
    <w:rsid w:val="02F54FC6"/>
    <w:rsid w:val="03FB1CE8"/>
    <w:rsid w:val="04854128"/>
    <w:rsid w:val="07512946"/>
    <w:rsid w:val="07660241"/>
    <w:rsid w:val="08567772"/>
    <w:rsid w:val="088447E5"/>
    <w:rsid w:val="0B1A18FA"/>
    <w:rsid w:val="0B875F8C"/>
    <w:rsid w:val="0BE33EB9"/>
    <w:rsid w:val="0D0D1B2D"/>
    <w:rsid w:val="0EEA79A9"/>
    <w:rsid w:val="0FE57697"/>
    <w:rsid w:val="11561326"/>
    <w:rsid w:val="1373514C"/>
    <w:rsid w:val="138228A6"/>
    <w:rsid w:val="143E4B76"/>
    <w:rsid w:val="14FF6828"/>
    <w:rsid w:val="15B8254D"/>
    <w:rsid w:val="16573B76"/>
    <w:rsid w:val="16A11602"/>
    <w:rsid w:val="175E0F34"/>
    <w:rsid w:val="17C52D61"/>
    <w:rsid w:val="1E0D7210"/>
    <w:rsid w:val="1F6D61B8"/>
    <w:rsid w:val="1FEC0ECB"/>
    <w:rsid w:val="211B39F2"/>
    <w:rsid w:val="22BD7457"/>
    <w:rsid w:val="24343579"/>
    <w:rsid w:val="265005E2"/>
    <w:rsid w:val="2751016E"/>
    <w:rsid w:val="27B0758A"/>
    <w:rsid w:val="28606744"/>
    <w:rsid w:val="28704001"/>
    <w:rsid w:val="28A6098D"/>
    <w:rsid w:val="28C84B70"/>
    <w:rsid w:val="29253151"/>
    <w:rsid w:val="29FF65A7"/>
    <w:rsid w:val="2ADE3CDA"/>
    <w:rsid w:val="2B113719"/>
    <w:rsid w:val="2B2E1D12"/>
    <w:rsid w:val="2BD27A8F"/>
    <w:rsid w:val="2CB35427"/>
    <w:rsid w:val="2D381E28"/>
    <w:rsid w:val="2DEE4968"/>
    <w:rsid w:val="2EB55D58"/>
    <w:rsid w:val="2F063F34"/>
    <w:rsid w:val="30395C43"/>
    <w:rsid w:val="30EF7582"/>
    <w:rsid w:val="316F5DC0"/>
    <w:rsid w:val="31EC7411"/>
    <w:rsid w:val="323D7C6C"/>
    <w:rsid w:val="3276317E"/>
    <w:rsid w:val="3580410C"/>
    <w:rsid w:val="37A805D4"/>
    <w:rsid w:val="38003C16"/>
    <w:rsid w:val="39641F82"/>
    <w:rsid w:val="3A59760D"/>
    <w:rsid w:val="3AFD443D"/>
    <w:rsid w:val="3E073973"/>
    <w:rsid w:val="3E2B51B0"/>
    <w:rsid w:val="3F17020E"/>
    <w:rsid w:val="3F650802"/>
    <w:rsid w:val="3FA532F5"/>
    <w:rsid w:val="41523008"/>
    <w:rsid w:val="41C53BAE"/>
    <w:rsid w:val="43A33C8C"/>
    <w:rsid w:val="45790B64"/>
    <w:rsid w:val="45C81AEB"/>
    <w:rsid w:val="471F28DC"/>
    <w:rsid w:val="47214AF2"/>
    <w:rsid w:val="47235F39"/>
    <w:rsid w:val="484728D9"/>
    <w:rsid w:val="496529B7"/>
    <w:rsid w:val="4C6D6F48"/>
    <w:rsid w:val="4CB3641C"/>
    <w:rsid w:val="4D9A3D6D"/>
    <w:rsid w:val="4E600B13"/>
    <w:rsid w:val="4E796078"/>
    <w:rsid w:val="4F783385"/>
    <w:rsid w:val="508912FE"/>
    <w:rsid w:val="50D17AA6"/>
    <w:rsid w:val="51351644"/>
    <w:rsid w:val="51B80AF1"/>
    <w:rsid w:val="52453052"/>
    <w:rsid w:val="52FA110A"/>
    <w:rsid w:val="53F341D7"/>
    <w:rsid w:val="54B41A5E"/>
    <w:rsid w:val="565A22EB"/>
    <w:rsid w:val="56EA18C1"/>
    <w:rsid w:val="57A37E01"/>
    <w:rsid w:val="57D1482F"/>
    <w:rsid w:val="58064536"/>
    <w:rsid w:val="596428C0"/>
    <w:rsid w:val="5A7C4F26"/>
    <w:rsid w:val="5B3E1B99"/>
    <w:rsid w:val="5CF56286"/>
    <w:rsid w:val="5D1C654D"/>
    <w:rsid w:val="5E7B54F5"/>
    <w:rsid w:val="60616C46"/>
    <w:rsid w:val="61C0104C"/>
    <w:rsid w:val="626D15F8"/>
    <w:rsid w:val="62864468"/>
    <w:rsid w:val="64632CB3"/>
    <w:rsid w:val="65593F5B"/>
    <w:rsid w:val="67A1421E"/>
    <w:rsid w:val="680D18B3"/>
    <w:rsid w:val="684354FE"/>
    <w:rsid w:val="6DC97FA8"/>
    <w:rsid w:val="6E831789"/>
    <w:rsid w:val="6EFA19DA"/>
    <w:rsid w:val="70393AD8"/>
    <w:rsid w:val="70DA60AB"/>
    <w:rsid w:val="731D6723"/>
    <w:rsid w:val="73EB05CF"/>
    <w:rsid w:val="748E364B"/>
    <w:rsid w:val="784B32EA"/>
    <w:rsid w:val="787D2B4D"/>
    <w:rsid w:val="79570BE0"/>
    <w:rsid w:val="7AF64429"/>
    <w:rsid w:val="7C9557BF"/>
    <w:rsid w:val="7D292894"/>
    <w:rsid w:val="7D8201F6"/>
    <w:rsid w:val="7DC742FB"/>
    <w:rsid w:val="7E8E6E02"/>
    <w:rsid w:val="7ED258B3"/>
    <w:rsid w:val="7ED700CE"/>
    <w:rsid w:val="7EFE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3504</Words>
  <Characters>3806</Characters>
  <Lines>0</Lines>
  <Paragraphs>0</Paragraphs>
  <TotalTime>0</TotalTime>
  <ScaleCrop>false</ScaleCrop>
  <LinksUpToDate>false</LinksUpToDate>
  <CharactersWithSpaces>4263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2024-08-21T00:03:00Z</dcterms:created>
  <dc:creator>1</dc:creator>
  <cp:lastModifiedBy>少林主持</cp:lastModifiedBy>
  <dcterms:modified xsi:type="dcterms:W3CDTF">2024-12-16T06:07:18Z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210708E455434AC085EDD078DE1635A8_13</vt:lpwstr>
  </property>
</Properties>
</file>